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폐기물처리업을 양수·승계한 자는 ‘거짓 허가’ 죄로 처벌할 수 없습니다</w:t>
      </w:r>
    </w:p>
    <w:p>
      <w:pPr>
        <w:pStyle w:val="law1"/>
        <w:autoSpaceDE w:val="0"/>
        <w:autoSpaceDN w:val="0"/>
        <w:spacing w:after="160"/>
      </w:pPr>
      <w:r>
        <w:rPr>
          <w:rFonts w:ascii="맑은 고딕" w:hAnsi="맑은 고딕" w:eastAsia="맑은 고딕" w:cs="맑은 고딕"/>
          <w:color w:val="000000"/>
        </w:rPr>
        <w:t>대법원 2019도3653 (2019.08.14 선고)</w:t>
      </w:r>
    </w:p>
    <w:p>
      <w:pPr>
        <w:autoSpaceDE w:val="0"/>
        <w:autoSpaceDN w:val="0"/>
        <w:spacing w:after="120"/>
      </w:pPr>
      <w:r>
        <w:rPr>
          <w:rFonts w:ascii="맑은 고딕" w:hAnsi="맑은 고딕" w:eastAsia="맑은 고딕" w:cs="맑은 고딕"/>
          <w:color w:val="000000"/>
        </w:rPr>
        <w:t>○ ‘거짓이나 부정한 방법으로 폐기물처리업 허가를 받은 자’에 기존 업을 양수하여 승계신고한 자가 포함되는지가 문제된 사건입니다. 대법원은 신규 취득자만 해당하고 승계신고자는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기존 폐기물처리업을 양수해 승계신고한 자도 ‘거짓 허가’ 처벌 대상인가요?</w:t>
            </w:r>
          </w:p>
          <w:p>
            <w:pPr>
              <w:autoSpaceDE w:val="0"/>
              <w:autoSpaceDN w:val="0"/>
            </w:pPr>
            <w:r>
              <w:rPr>
                <w:rFonts w:ascii="맑은 고딕" w:hAnsi="맑은 고딕" w:eastAsia="맑은 고딕" w:cs="맑은 고딕"/>
                <w:b w:val="0"/>
                <w:color w:val="000000"/>
                <w:sz w:val="19"/>
              </w:rPr>
              <w:t>A. 아니요. 이 죄는 허가를 신규 취득하는 과정에서 부정한 방법을 쓴 자만을 가리키고, 기존 업을 양수하여 승계신고한 자는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2019도3653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2019.08.14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2015. 10. 1.경부터 2015. 10. 2.경까지 폐기물관리법 위반의 점에 대하여 범죄의 증명이 없다고 보아, 이를 유죄로 판단한 제1심판결을 파기하고 무죄를 선고하였다.</w:t>
      </w:r>
      <w:r>
        <w:rPr>
          <w:rFonts w:ascii="맑은 고딕" w:hAnsi="맑은 고딕" w:eastAsia="맑은 고딕" w:cs="맑은 고딕"/>
          <w:color w:val="000000"/>
        </w:rPr>
        <w:br/>
      </w:r>
      <w:r>
        <w:rPr>
          <w:rFonts w:ascii="맑은 고딕" w:hAnsi="맑은 고딕" w:eastAsia="맑은 고딕" w:cs="맑은 고딕"/>
          <w:color w:val="000000"/>
        </w:rPr>
        <w:t>② 원심판결 이유를 기록에 비추어 살펴보면,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t>③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이유를 들어 폐기물관리법 제25조 제3항의 폐기물처리업 허가를 받은 자에 그 권리·의무를 승계한 양수인도 포함된다고 보아 피고인의 이 부분 공소사실을 유죄로 판단하였다.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폐기물관리법 제64조 제6호에서 정한 ‘거짓이나 그 밖의 부정한 방법으로 제25조 제3항에 따른 폐기물처리업 허가를 받은 자’에 이미 허가를 받은 기존의 폐기물처리업을 양수하여 그 권리·의무의 승계를 신고하는 자도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같은 법 제64조 제6호 위반죄로 처벌할 수 없다는 이유로, 이와 달리 보아 유죄를 인정한 원심의 판단에 법리오해의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t>②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③ 그럼에도 원심은 그 판시와 같은 이유를 들어 폐기물관리법 제25조 제3항의 폐기물처리업 허가를 받은 자에 그 권리·의무를 승계한 양수인도 포함된다고 보아 피고인의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④ 이러한 원심의 판단에는 폐기물관리법 제64조 제6호의 해석에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⑤ 이를 지적하는 피고인의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⑥ 나머지 상고이유에 관하여 원심은 그 판시와 같은 이유를 들어 피고인에 대한 공소사실 중 국가기술자격법 위반의 점, 지정된 장소 이외의 곳에 사업장폐기물을 버린 행위로 인한 폐기물관리법 위반의 점을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⑦ 원심판결 이유를 관련 법리와 적법하게 채택된 증거에 비추어 살펴보면, 원심의 판단에 논리와 경험의 법칙을 위반하여 자유심증주의의 한계를 벗어나거나 국가기술자격법 위반죄와 폐기물관리법 위반죄의 성립에 관한 법리를 오해하고 유추해석금지의 원칙을 위반한 잘못이 없다.</w:t>
      </w:r>
      <w:r>
        <w:rPr>
          <w:rFonts w:ascii="맑은 고딕" w:hAnsi="맑은 고딕" w:eastAsia="맑은 고딕" w:cs="맑은 고딕"/>
          <w:color w:val="000000"/>
        </w:rPr>
        <w:br/>
      </w:r>
      <w:r>
        <w:rPr>
          <w:rFonts w:ascii="맑은 고딕" w:hAnsi="맑은 고딕" w:eastAsia="맑은 고딕" w:cs="맑은 고딕"/>
          <w:color w:val="000000"/>
        </w:rPr>
        <w:t>⑧ 파기의 범위 앞서 본 이유로 원심판결 중 거짓이나 그 밖의 부정한 방법으로 폐기물처리업 허가를 받은 행위로 인한 폐기물관리법 위반의 점에 관한 유죄 부분은 파기되어야 하는데, 이 부분은 원심이 피고인에 대하여 유죄로 인정한 나머지 각 부분과 형법 제37조 전단의 경합범 관계에 있어 원심에서 하나의 징역형이 선고되었으므로, 원심판결 중 피고인에 대한 유죄 부분은 그 전부가 파기될 수밖에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폐기물관리법 제64조 제6호에서 정하고 있는 “거짓이나 그 밖의 부정한 방법으로 제25조 제3항에 따른 폐기물처리업 허가를 받은 자”란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w:t>
      </w:r>
      <w:r>
        <w:rPr>
          <w:rFonts w:ascii="맑은 고딕" w:hAnsi="맑은 고딕" w:eastAsia="맑은 고딕" w:cs="맑은 고딕"/>
          <w:color w:val="000000"/>
        </w:rPr>
        <w:br/>
      </w:r>
      <w:r>
        <w:rPr>
          <w:rFonts w:ascii="맑은 고딕" w:hAnsi="맑은 고딕" w:eastAsia="맑은 고딕" w:cs="맑은 고딕"/>
          <w:color w:val="000000"/>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폐기물관리법 제64조 제6호 위반죄로 처벌할 수 없다는 이유로, 이와 달리 폐기물관리법 제25조 제3항의 폐기물처리업 허가를 받은 자에 그 권리·의무를 승계한 양수인도 포함된다고 보아 유죄를 인정한 원심의 판단에 폐기물관리법 제64조 제6호의 해석에 관한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w:t>
            </w:r>
          </w:p>
        </w:tc>
        <w:tc>
          <w:tcPr>
            <w:tcW w:type="pct" w:w="3400"/>
          </w:tcPr>
          <w:p>
            <w:pPr>
              <w:autoSpaceDE w:val="0"/>
              <w:autoSpaceDN w:val="0"/>
            </w:pPr>
            <w:r/>
            <w:r>
              <w:rPr>
                <w:rFonts w:ascii="맑은 고딕" w:hAnsi="맑은 고딕" w:eastAsia="맑은 고딕" w:cs="맑은 고딕"/>
                <w:b w:val="0"/>
                <w:color w:val="000000"/>
                <w:sz w:val="19"/>
              </w:rPr>
              <w:t>제25조 제3항, 제64조 제6호</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형사소송법</w:t>
            </w:r>
          </w:p>
        </w:tc>
        <w:tc>
          <w:tcPr>
            <w:tcW w:type="pct" w:w="3400"/>
          </w:tcPr>
          <w:p>
            <w:pPr>
              <w:autoSpaceDE w:val="0"/>
              <w:autoSpaceDN w:val="0"/>
            </w:pPr>
            <w:r/>
            <w:r>
              <w:rPr>
                <w:rFonts w:ascii="맑은 고딕" w:hAnsi="맑은 고딕" w:eastAsia="맑은 고딕" w:cs="맑은 고딕"/>
                <w:b w:val="0"/>
                <w:color w:val="000000"/>
                <w:sz w:val="19"/>
              </w:rPr>
              <w:t>제325조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https://www.law.go.kr/판례/(2019도3653)</w:t>
      </w:r>
    </w:p>
    <w:p>
      <w:pPr>
        <w:autoSpaceDE w:val="0"/>
        <w:autoSpaceDN w:val="0"/>
        <w:spacing w:before="80"/>
      </w:pPr>
      <w:r>
        <w:rPr>
          <w:rFonts w:ascii="맑은 고딕" w:hAnsi="맑은 고딕" w:eastAsia="맑은 고딕" w:cs="맑은 고딕"/>
          <w:color w:val="000000"/>
          <w:sz w:val="18"/>
        </w:rPr>
        <w:t>태그  #폐기물관리법판례 #형사판례 #대법원판례 #2019년판례 #2019도3653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