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보관은 ‘자기’ 허가 사업장 안에서만 — 제3자 사업장은 안 됩니다</w:t>
      </w:r>
    </w:p>
    <w:p>
      <w:pPr>
        <w:pStyle w:val="law1"/>
        <w:autoSpaceDE w:val="0"/>
        <w:autoSpaceDN w:val="0"/>
        <w:spacing w:after="160"/>
      </w:pPr>
      <w:r>
        <w:rPr>
          <w:rFonts w:ascii="맑은 고딕" w:hAnsi="맑은 고딕" w:eastAsia="맑은 고딕" w:cs="맑은 고딕"/>
          <w:color w:val="000000"/>
        </w:rPr>
        <w:t>대법원 2020도7929 (2020.09.03 선고)</w:t>
      </w:r>
    </w:p>
    <w:p>
      <w:pPr>
        <w:autoSpaceDE w:val="0"/>
        <w:autoSpaceDN w:val="0"/>
        <w:spacing w:after="120"/>
      </w:pPr>
      <w:r>
        <w:rPr>
          <w:rFonts w:ascii="맑은 고딕" w:hAnsi="맑은 고딕" w:eastAsia="맑은 고딕" w:cs="맑은 고딕"/>
          <w:color w:val="000000"/>
        </w:rPr>
        <w:t>○ 폐기물처리업자의 준수사항인 ‘허가받은 사업장 내 보관시설’이 자기 사업장을 의미하는지, 제3자 사업장도 포함되는지가 문제된 사건입니다. 대법원은 자기 사업장 내 보관시설만을 의미한다고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‘허가받은 사업장 내 보관시설’에 제3자가 허가받은 사업장도 포함되나요?</w:t>
            </w:r>
          </w:p>
          <w:p>
            <w:pPr>
              <w:autoSpaceDE w:val="0"/>
              <w:autoSpaceDN w:val="0"/>
            </w:pPr>
            <w:r>
              <w:rPr>
                <w:rFonts w:ascii="맑은 고딕" w:hAnsi="맑은 고딕" w:eastAsia="맑은 고딕" w:cs="맑은 고딕"/>
                <w:b w:val="0"/>
                <w:color w:val="000000"/>
                <w:sz w:val="19"/>
              </w:rPr>
              <w:t>A. 아니요. 허가를 받은 폐기물처리업자 자신의 사업장 내 보관시설만을 의미하고, 제3자가 허가받은 사업장은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2020도7929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2020.09.03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폐기물처리업자가 지켜야 할 준수사항으로 폐기물의 적정한 보관장소를 규정한 폐기물관리법 제25조 제9항 제1호의 ‘허가받은 사업장 내 보관시설’이 허가를 받은 폐기물처리업자 자신의 사업장 내 보관시설을 의미하는지 여부(적극) 및 제3자가 허가를 받은 사업장이 그 ‘사업장’에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② 피고인 1의 상고이유에 관한 판단 기록에 의하면, 피고인 1은 제1심판결에 대하여 항소하면서 항소이유로 양형부당만을 주장하였음을 알 수 있다.</w:t>
      </w:r>
      <w:r>
        <w:rPr>
          <w:rFonts w:ascii="맑은 고딕" w:hAnsi="맑은 고딕" w:eastAsia="맑은 고딕" w:cs="맑은 고딕"/>
          <w:color w:val="000000"/>
        </w:rPr>
        <w:br/>
      </w:r>
      <w:r>
        <w:rPr>
          <w:rFonts w:ascii="맑은 고딕" w:hAnsi="맑은 고딕" w:eastAsia="맑은 고딕" w:cs="맑은 고딕"/>
          <w:color w:val="000000"/>
        </w:rPr>
        <w:t>③ 이러한 경우 원심판결 중 폐기물의 국가 간 이동 및 그 처리에 관한 법률 위반 부분에 사실오인 또는 법리오해의 위법이 있다는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④ 나아가 살펴보더라도, “피고인이 필리핀에 있는 공소외인 등과 공모하여 분리ㆍ세탁ㆍ건조 등 적법한 처리공정을 거치지 않은 폐기물을 필리핀으로 수출할 계획이었음에도 적법한 처리공정을 거친 것처럼 2회에 걸쳐 거짓으로 수출신고를 하였다.”라는 공소사실을 유죄로 판단한 제1심판결을 그대로 유지한 원심판결에 위 피고인의 상고이유 주장과 같은 사실오인 또는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t>⑤ 그리고 형사소송법 제383조 제4호에 의하면 사형, 무기 또는 10년 이상의 징역이나 금고가 선고된 사건에서만 양형부당을 사유로 한 상고가 허용되므로, 위 피고인에 대하여 그보다 가벼운 형이 선고된 이 사건에서 형이 너무 무거워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⑥ 피고인 2의 상고이유에 관한 판단 폐기물관리법 제25조 제9항 제1호에 따르면 폐기물처리업자는 환경부령으로 정하는 바에 따라 폐기물을 허가받은 사업장 내 보관시설이나 승인받은 임시보관시설 등 적정한 장소에 보관하여야 하고, 폐기물관리법 시행령 제7조 제1항 제6호에 따르면 폐기물을 처분 또는 재활용하는 자가 폐기물을 보관하는 경우에는 그 폐기물 처분시설 또는 재활용시설과 같은 사업장에 있는 보관시설에 보관하여야 하며, 폐기물관리법 시행규칙 제30조의2는 폐기물관리법 제25조 제9항 제1호에서 말하는 적정한 장소를 한정적으로 열거하고 있다(대법원 2020. 5. 14. 선고 2019도1118 판결 참조). 이와 같은 관련 법령의 체계와 문언 내용, 특히 폐기물 관리에 관한 법령이 폐기물처리업 허가와 검사 등 폐기물처리업자에 대한 지도ㆍ감독 및 폐기물처리업자의 형사처벌이 유기적ㆍ체계적으로 통합되도록 규정하고 있는 점 등을 더하여 보면, 폐기물관리법 제25조 제9항 제1호의 ‘허가받은 사업장 내 보관시설’은 허가를 받은 폐기물처리업자 자신의 사업장 내 보관시설을 의미하는 것으로, 제3자가 허가를 받은 사업장은 그 ‘사업장’에 포함되지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t>⑦ 원심은 판시와 같은 이유로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⑧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r>
        <w:rPr>
          <w:rFonts w:ascii="맑은 고딕" w:hAnsi="맑은 고딕" w:eastAsia="맑은 고딕" w:cs="맑은 고딕"/>
          <w:color w:val="000000"/>
        </w:rPr>
        <w:br/>
      </w:r>
      <w:r>
        <w:rPr>
          <w:rFonts w:ascii="맑은 고딕" w:hAnsi="맑은 고딕" w:eastAsia="맑은 고딕" w:cs="맑은 고딕"/>
          <w:color w:val="000000"/>
        </w:rPr>
        <w:t>⑨ 결론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⑩ 대법관 노태악(재판장) 김재형 민유숙(주심) 이동원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제25조 제9항 제1호, 제66조 제9호</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 시행령</w:t>
            </w:r>
          </w:p>
        </w:tc>
        <w:tc>
          <w:tcPr>
            <w:tcW w:type="pct" w:w="3400"/>
          </w:tcPr>
          <w:p>
            <w:pPr>
              <w:autoSpaceDE w:val="0"/>
              <w:autoSpaceDN w:val="0"/>
            </w:pPr>
            <w:r/>
            <w:r>
              <w:rPr>
                <w:rFonts w:ascii="맑은 고딕" w:hAnsi="맑은 고딕" w:eastAsia="맑은 고딕" w:cs="맑은 고딕"/>
                <w:b w:val="0"/>
                <w:color w:val="000000"/>
                <w:sz w:val="19"/>
              </w:rPr>
              <w:t>제7조 제1항 제6호</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 시행규칙</w:t>
            </w:r>
          </w:p>
        </w:tc>
        <w:tc>
          <w:tcPr>
            <w:tcW w:type="pct" w:w="3400"/>
          </w:tcPr>
          <w:p>
            <w:pPr>
              <w:autoSpaceDE w:val="0"/>
              <w:autoSpaceDN w:val="0"/>
            </w:pPr>
            <w:r/>
            <w:r>
              <w:rPr>
                <w:rFonts w:ascii="맑은 고딕" w:hAnsi="맑은 고딕" w:eastAsia="맑은 고딕" w:cs="맑은 고딕"/>
                <w:b w:val="0"/>
                <w:color w:val="000000"/>
                <w:sz w:val="19"/>
              </w:rPr>
              <w:t>제30조의2</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https://www.law.go.kr/판례/(2020도7929)</w:t>
      </w:r>
    </w:p>
    <w:p>
      <w:pPr>
        <w:autoSpaceDE w:val="0"/>
        <w:autoSpaceDN w:val="0"/>
        <w:spacing w:before="80"/>
      </w:pPr>
      <w:r>
        <w:rPr>
          <w:rFonts w:ascii="맑은 고딕" w:hAnsi="맑은 고딕" w:eastAsia="맑은 고딕" w:cs="맑은 고딕"/>
          <w:color w:val="000000"/>
          <w:sz w:val="18"/>
        </w:rPr>
        <w:t>태그  #폐기물관리법판례 #폐기물재활용 #건설폐기물 #폐기물수출입 #형사판례 #대법원판례 #2020년판례 #2020도7929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