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재활용부과금, 대행의무 없는 공제조합에는 부과할 수 없습니다</w:t>
      </w:r>
    </w:p>
    <w:p>
      <w:pPr>
        <w:pStyle w:val="law1"/>
        <w:autoSpaceDE w:val="0"/>
        <w:autoSpaceDN w:val="0"/>
        <w:spacing w:after="160"/>
      </w:pPr>
      <w:r>
        <w:rPr>
          <w:rFonts w:ascii="맑은 고딕" w:hAnsi="맑은 고딕" w:eastAsia="맑은 고딕" w:cs="맑은 고딕"/>
          <w:color w:val="000000"/>
        </w:rPr>
        <w:t>대법원 2020두42774 (2022.12.15 선고)</w:t>
      </w:r>
    </w:p>
    <w:p>
      <w:pPr>
        <w:autoSpaceDE w:val="0"/>
        <w:autoSpaceDN w:val="0"/>
        <w:spacing w:after="120"/>
      </w:pPr>
      <w:r>
        <w:rPr>
          <w:rFonts w:ascii="맑은 고딕" w:hAnsi="맑은 고딕" w:eastAsia="맑은 고딕" w:cs="맑은 고딕"/>
          <w:color w:val="000000"/>
        </w:rPr>
        <w:t>○ 재활용사업공제조합에 재활용부과금을 부과하는 요건인 ‘조합원의 재활용의무를 대행하지 아니하는 경우’의 의미가 문제된 사건입니다. 대법원은 대행의무가 없으면 조합에 부과할 수 없고, 부과 대상은 재활용의무생산자라고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조합원 자격이 상실·정지되어 조합이 대행의무를 지지 않는 경우, 조합에 재활용부과금을 부과할 수 있나요?</w:t>
            </w:r>
          </w:p>
          <w:p>
            <w:pPr>
              <w:autoSpaceDE w:val="0"/>
              <w:autoSpaceDN w:val="0"/>
            </w:pPr>
            <w:r>
              <w:rPr>
                <w:rFonts w:ascii="맑은 고딕" w:hAnsi="맑은 고딕" w:eastAsia="맑은 고딕" w:cs="맑은 고딕"/>
                <w:b w:val="0"/>
                <w:color w:val="000000"/>
                <w:sz w:val="19"/>
              </w:rPr>
              <w:t>A. 아니요. 조합이 대행할 의무가 인정되지 않으면 조합에 부과할 수 없습니다.</w:t>
            </w:r>
          </w:p>
          <w:p>
            <w:pPr>
              <w:autoSpaceDE w:val="0"/>
              <w:autoSpaceDN w:val="0"/>
            </w:pPr>
          </w:p>
          <w:p>
            <w:pPr>
              <w:autoSpaceDE w:val="0"/>
              <w:autoSpaceDN w:val="0"/>
            </w:pPr>
            <w:r>
              <w:rPr>
                <w:rFonts w:ascii="맑은 고딕" w:hAnsi="맑은 고딕" w:eastAsia="맑은 고딕" w:cs="맑은 고딕"/>
                <w:b/>
                <w:color w:val="000000"/>
                <w:sz w:val="19"/>
              </w:rPr>
              <w:t>Q. 그럼 이때 재활용부과금은 누구에게 부과하나요?</w:t>
            </w:r>
          </w:p>
          <w:p>
            <w:pPr>
              <w:autoSpaceDE w:val="0"/>
              <w:autoSpaceDN w:val="0"/>
            </w:pPr>
            <w:r>
              <w:rPr>
                <w:rFonts w:ascii="맑은 고딕" w:hAnsi="맑은 고딕" w:eastAsia="맑은 고딕" w:cs="맑은 고딕"/>
                <w:b w:val="0"/>
                <w:color w:val="000000"/>
                <w:sz w:val="19"/>
              </w:rPr>
              <w:t>A. 재활용의무를 지는 재활용의무생산자에게 부과합니다.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2020두42774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t>② 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t>③ 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t>④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w:t>
      </w:r>
      <w:r>
        <w:rPr>
          <w:rFonts w:ascii="맑은 고딕" w:hAnsi="맑은 고딕" w:eastAsia="맑은 고딕" w:cs="맑은 고딕"/>
          <w:color w:val="000000"/>
        </w:rPr>
        <w:br/>
      </w:r>
      <w:r>
        <w:rPr>
          <w:rFonts w:ascii="맑은 고딕" w:hAnsi="맑은 고딕" w:eastAsia="맑은 고딕" w:cs="맑은 고딕"/>
          <w:color w:val="000000"/>
        </w:rPr>
        <w:t>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t>⑥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t>⑦ 이 사건 협회는 자격정지를 받은 조합원들의 2014년 4분기 출고량을 연간 출고량에 포함시킨 것은 부당하다고 주장하며 위 재활용부과금 부과처분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다음과 같은 이유로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w:t>
      </w:r>
      <w:r>
        <w:rPr>
          <w:rFonts w:ascii="맑은 고딕" w:hAnsi="맑은 고딕" w:eastAsia="맑은 고딕" w:cs="맑은 고딕"/>
          <w:color w:val="000000"/>
        </w:rPr>
        <w:br/>
      </w:r>
      <w:r>
        <w:rPr>
          <w:rFonts w:ascii="맑은 고딕" w:hAnsi="맑은 고딕" w:eastAsia="맑은 고딕" w:cs="맑은 고딕"/>
          <w:color w:val="000000"/>
        </w:rPr>
        <w:t>③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원심의 판단은 그대로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⑥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w:t>
      </w:r>
      <w:r>
        <w:rPr>
          <w:rFonts w:ascii="맑은 고딕" w:hAnsi="맑은 고딕" w:eastAsia="맑은 고딕" w:cs="맑은 고딕"/>
          <w:color w:val="000000"/>
        </w:rPr>
        <w:br/>
      </w:r>
      <w:r>
        <w:rPr>
          <w:rFonts w:ascii="맑은 고딕" w:hAnsi="맑은 고딕" w:eastAsia="맑은 고딕" w:cs="맑은 고딕"/>
          <w:color w:val="000000"/>
        </w:rPr>
        <w:t>⑦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t>⑧ 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⑩ 따라서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법률(2015. 1. 20. 법률 제13036호로 개정되기 전의 것)</w:t>
            </w:r>
          </w:p>
        </w:tc>
        <w:tc>
          <w:tcPr>
            <w:tcW w:type="pct" w:w="3400"/>
          </w:tcPr>
          <w:p>
            <w:pPr>
              <w:autoSpaceDE w:val="0"/>
              <w:autoSpaceDN w:val="0"/>
            </w:pPr>
            <w:r/>
            <w:r>
              <w:rPr>
                <w:rFonts w:ascii="맑은 고딕" w:hAnsi="맑은 고딕" w:eastAsia="맑은 고딕" w:cs="맑은 고딕"/>
                <w:b w:val="0"/>
                <w:color w:val="000000"/>
                <w:sz w:val="19"/>
              </w:rPr>
              <w:t>제1조, 제16조 제1항, 제2항(현행 제16조 제3항 참조), 제19조 제1항, 제27조 제1항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https://www.law.go.kr/판례/(2020두42774)</w:t>
      </w:r>
    </w:p>
    <w:p>
      <w:pPr>
        <w:autoSpaceDE w:val="0"/>
        <w:autoSpaceDN w:val="0"/>
        <w:spacing w:before="8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