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폐기물관리법(2015. 7. 20. 법률 제13411호로 개정되기 전의 것)</w:t>
            </w:r>
          </w:p>
        </w:tc>
        <w:tc>
          <w:tcPr>
            <w:tcW w:type="pct" w:w="3400"/>
          </w:tcPr>
          <w:p>
            <w:pPr>
              <w:autoSpaceDE w:val="0"/>
              <w:autoSpaceDN w:val="0"/>
            </w:pPr>
            <w:r/>
            <w:r>
              <w:rPr>
                <w:rFonts w:ascii="맑은 고딕" w:hAnsi="맑은 고딕" w:eastAsia="맑은 고딕" w:cs="맑은 고딕"/>
                <w:b w:val="0"/>
                <w:color w:val="000000"/>
                <w:sz w:val="19"/>
              </w:rPr>
              <w:t>제48조 제1호(현행 제48조 제1항 제1호 참조), 제65조 제10호(현행 제65조 제23호 참조)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행정절차법</w:t>
            </w:r>
          </w:p>
        </w:tc>
        <w:tc>
          <w:tcPr>
            <w:tcW w:type="pct" w:w="3400"/>
          </w:tcPr>
          <w:p>
            <w:pPr>
              <w:autoSpaceDE w:val="0"/>
              <w:autoSpaceDN w:val="0"/>
            </w:pPr>
            <w:r/>
            <w:r>
              <w:rPr>
                <w:rFonts w:ascii="맑은 고딕" w:hAnsi="맑은 고딕" w:eastAsia="맑은 고딕" w:cs="맑은 고딕"/>
                <w:b w:val="0"/>
                <w:color w:val="000000"/>
                <w:sz w:val="19"/>
              </w:rPr>
              <w:t>제21조 제1항, 제3항, 제4항, 제22조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