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폐기물관리법(2019. 11. 26. 법률 제16614호로 개정되기 전의 것)</w:t>
            </w:r>
          </w:p>
        </w:tc>
        <w:tc>
          <w:tcPr>
            <w:tcW w:type="pct" w:w="3400"/>
          </w:tcPr>
          <w:p>
            <w:pPr>
              <w:autoSpaceDE w:val="0"/>
              <w:autoSpaceDN w:val="0"/>
            </w:pPr>
            <w:r/>
            <w:r>
              <w:rPr>
                <w:rFonts w:ascii="맑은 고딕" w:hAnsi="맑은 고딕" w:eastAsia="맑은 고딕" w:cs="맑은 고딕"/>
                <w:b w:val="0"/>
                <w:color w:val="000000"/>
                <w:sz w:val="19"/>
              </w:rPr>
              <w:t>제1조, 제13조의2 제1항, 제3항, 제48조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 시행규칙(2020. 5. 27. 환경부령 제868호로 개정되기 전의 것)</w:t>
            </w:r>
          </w:p>
        </w:tc>
        <w:tc>
          <w:tcPr>
            <w:tcW w:type="pct" w:w="3400"/>
          </w:tcPr>
          <w:p>
            <w:pPr>
              <w:autoSpaceDE w:val="0"/>
              <w:autoSpaceDN w:val="0"/>
            </w:pPr>
            <w:r/>
            <w:r>
              <w:rPr>
                <w:rFonts w:ascii="맑은 고딕" w:hAnsi="맑은 고딕" w:eastAsia="맑은 고딕" w:cs="맑은 고딕"/>
                <w:b w:val="0"/>
                <w:color w:val="000000"/>
                <w:sz w:val="19"/>
              </w:rPr>
              <w:t>제14조의3 제1항 [별표 5의3], 제5항 [별표 5의4]</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토양환경보전법 시행규칙(2020. 7. 14. 환경부령 제873호로 개정되기 전의 것)</w:t>
            </w:r>
          </w:p>
        </w:tc>
        <w:tc>
          <w:tcPr>
            <w:tcW w:type="pct" w:w="3400"/>
          </w:tcPr>
          <w:p>
            <w:pPr>
              <w:autoSpaceDE w:val="0"/>
              <w:autoSpaceDN w:val="0"/>
            </w:pPr>
            <w:r/>
            <w:r>
              <w:rPr>
                <w:rFonts w:ascii="맑은 고딕" w:hAnsi="맑은 고딕" w:eastAsia="맑은 고딕" w:cs="맑은 고딕"/>
                <w:b w:val="0"/>
                <w:color w:val="000000"/>
                <w:sz w:val="19"/>
              </w:rPr>
              <w:t>제1조의5 [별표 3]</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