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폐기물관리법 위반</w:t>
      </w:r>
    </w:p>
    <w:p>
      <w:pPr>
        <w:pStyle w:val="law1"/>
        <w:spacing w:after="160"/>
      </w:pPr>
      <w:r>
        <w:rPr>
          <w:rFonts w:ascii="맑은 고딕" w:hAnsi="맑은 고딕" w:eastAsia="맑은 고딕" w:cs="맑은 고딕"/>
          <w:color w:val="000000"/>
        </w:rPr>
        <w:t>대법원 2011도9549 (2013.05.24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2011도9549</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2013.05.24</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사업장폐기물 불법 매립에 의한 폐기물관리법 위반죄의 포괄일죄 여부를 판단하는 기준</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형법 제37조, 폐기물관리법 제8조 제2항, 제63조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#대법원판례 #2011도9549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