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폐기물처리사업계획서부적합통보처분취소</w:t>
      </w:r>
    </w:p>
    <w:p>
      <w:pPr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2011두12283 (2011.11.10 선고) · 일반행정</w:t>
      </w:r>
    </w:p>
    <w:p/>
    <w:p/>
    <w:p>
      <w:pPr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2011두12283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2011.11.10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r/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r/>
            <w:r>
              <w:rPr>
                <w:rFonts w:ascii="맑은 고딕" w:hAnsi="맑은 고딕" w:eastAsia="맑은 고딕" w:cs="맑은 고딕"/>
                <w:b w:val="0"/>
                <w:color w:val="000000"/>
                <w:sz w:val="19"/>
              </w:rPr>
              <w:t>일반행정</w:t>
            </w:r>
          </w:p>
        </w:tc>
      </w:tr>
    </w:tbl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판시사항</w:t>
      </w:r>
    </w:p>
    <w:p>
      <w:r>
        <w:rPr>
          <w:rFonts w:ascii="맑은 고딕" w:hAnsi="맑은 고딕" w:eastAsia="맑은 고딕" w:cs="맑은 고딕"/>
          <w:color w:val="000000"/>
        </w:rPr>
        <w:t>[1] 폐기물처리업 허가에 관한 폐기물처리사업계획서가 적합한지를 심사하면서 구 폐기물관리법 제25조 제2항 각 호에서 열거한 사항 외의 사유로 부적합통보를 할 수 있는지 여부(적극)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甲 주식회사가 제출한 생활폐기물수집·운반업을 위한 폐기물처리사업계획서에 대하여, 관할 구청장이 기존 업체가 보유하고 있는 인력과 장비로 충분한 처리가 이루어지고 있어서 별도의 신규허가가 어렵다는 사유로 부적합통보를 한 사안에서, 처분이 재량권을 일탈·남용하여 위법하다고 본 원심판단을 정당하다고 한 사례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판결요지</w:t>
      </w:r>
    </w:p>
    <w:p>
      <w:r>
        <w:rPr>
          <w:rFonts w:ascii="맑은 고딕" w:hAnsi="맑은 고딕" w:eastAsia="맑은 고딕" w:cs="맑은 고딕"/>
          <w:color w:val="000000"/>
        </w:rPr>
        <w:t>[1] 구 폐기물관리법(2010. 7. 23. 법률 제10389호로 개정되기 전의 것, 이하 ‘법’이라 한다)의 입법목적과 규정사항, 폐기물처리업 허가의 성격, 사업계획서적합통보제도의 취지와 함께 폐기물의 원활하고 적정한 처리라는 공익을 책임지고 실현하기 위한 행정의 합목적성 등을 종합하여 볼 때, 폐기물처리사업계획서의 적합 여부를 심사함에 있어서 법 제25조 제2항 각 호에서 열거된 사항을 검토한 결과 이에 저촉되거나 문제되는 사항이 없다고 하더라도 폐기물의 수집·운반·처리에 관한 안정적이고 효율적인 책임행정의 이행 등 공익을 해칠 우려가 있다고 인정되는 경우에는 이를 이유로 사업계획서의 부적합통보를 할 수 있다고 볼 것이다.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[2] 甲 주식회사가 제출한 생활폐기물수집·운반업을 위한 폐기물처리사업계획서에 대하여, 관할 구청장이 기존 업체가 보유하고 있는 인력과 장비로 충분한 처리가 이루어지고 있어서 별도의 신규허가가 어렵다는 사유로 부적합하다는 통보를 한 사안에서, 원심이 구 폐기물관리법(2010. 7. 23. 법률 제10389호로 개정되기 전의 것) 제25조 제2항 각 호의 사유를 제한적인 것으로 보아 여기에 열거된 사항 외의 것을 사유로 한 위 처분에 대하여 곧바로 적법한 처분사유가 없다고 본 것은 적절하지 않지만, 부가적으로 관할 구청장이 甲 회사나 다른 업체에 신규로 생활폐기물수집·운반업을 허가한다면 일시적으로 시설의 공급과잉현상이 나타나 기존 업체에 어느 정도의 손해 발생이 예상되나 이로 인하여 업체 난립 및 과당경쟁으로 기존 생활폐기물수집·운반 질서가 파괴될 정도에 이른다고 할 수 없고, 처분 당시 기존 업체의 1일 생활폐기물수집·운반능력이 대상 영업구역의 1일 생활폐기물배출량을 훨씬 능가하게 된 데에는 기존 업체가 폐기물의 수집·운반차량을 대폭 늘린 데에도 원인이 있으므로 이를 고려하지 않은 채 기존 업체의 생활폐기물수집·운반능력이 생활폐기물배출량보다 많다며 신규 업체의 시장진입을 허용하지 아니하는 것은 사실상 기존 업체에 독점적 대행권을 유지하는 결과가 된다는 등의 이유로 위 처분이 재량권을 일탈·남용하여 위법하다고 본 것은 정당하다고 한 사례.</w:t>
      </w:r>
    </w:p>
    <w:p/>
    <w:p/>
    <w:p>
      <w:pPr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참조 조문</w:t>
      </w:r>
    </w:p>
    <w:p>
      <w:r>
        <w:rPr>
          <w:rFonts w:ascii="맑은 고딕" w:hAnsi="맑은 고딕" w:eastAsia="맑은 고딕" w:cs="맑은 고딕"/>
          <w:color w:val="000000"/>
        </w:rPr>
        <w:t>[1] 구 폐기물관리법(2010. 7. 23. 법률 제10389호로 개정되기 전의 것) 제1조, 제4조 제1항, 제2항, 제14조 제1항 제2항, 제25조 제2항, 제3항, 제4항, 구 폐기물관리법 시행규칙(2011. 9. 27. 환경부령 제422호로 개정되기 전의 것) 제28조 제1항, 제2항, 제3항, 제4항, 제5항 / [2] 구 폐기물관리법(2010. 7. 23. 법률 제10389호로 개정되기 전의 것) 제1조, 제4조 제1항, 제2항, 제14조 제1항 제2항, 제25조 제2항, 제3항, 제4항, 구 폐기물관리법 시행규칙(2011. 9. 27. 환경부령 제422호로 개정되기 전의 것) 제28조 제1항, 제2항, 제3항, 제4항, 제5항</w:t>
      </w:r>
    </w:p>
    <w:p>
      <w:pPr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spacing w:before="160"/>
      </w:pPr>
      <w:r>
        <w:rPr>
          <w:rFonts w:ascii="맑은 고딕" w:hAnsi="맑은 고딕" w:eastAsia="맑은 고딕" w:cs="맑은 고딕"/>
          <w:color w:val="000000"/>
          <w:sz w:val="18"/>
        </w:rPr>
        <w:t>태그  #폐기물판례 #폐기물처리사업계획서 #부적합통보 #대법원판례 #2011두12283 #인허가서대리</w:t>
      </w:r>
    </w:p>
    <w:p>
      <w:pPr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