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폐기물관리법위반이의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2012마1163 (2012.10.19 선고) · 민사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2012마1163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2012.10.19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민사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판시사항</w:t>
      </w:r>
    </w:p>
    <w:p>
      <w:r>
        <w:rPr>
          <w:rFonts w:ascii="맑은 고딕" w:hAnsi="맑은 고딕" w:eastAsia="맑은 고딕" w:cs="맑은 고딕"/>
          <w:color w:val="000000"/>
        </w:rPr>
        <w:t>과태료재판의 심판 범위(=행정청의 과태료부과처분사유와 기본적 사실관계에서 동일성이 인정되는 한도 내)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판결요지</w:t>
      </w:r>
    </w:p>
    <w:p>
      <w:r>
        <w:rPr>
          <w:rFonts w:ascii="맑은 고딕" w:hAnsi="맑은 고딕" w:eastAsia="맑은 고딕" w:cs="맑은 고딕"/>
          <w:color w:val="000000"/>
        </w:rPr>
        <w:t>과태료재판의 경우, 법원으로서는 기록상 현출되어 있는 사항에 관하여 직권으로 증거조사를 하고 이를 기초로 하여 판단할 수 있는 것이나, 그 경우 행정청의 과태료부과처분사유와 기본적 사실관계에서 동일성이 인정되는 한도 내에서만 과태료를 부과할 수 있다.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참조 조문</w:t>
      </w:r>
    </w:p>
    <w:p>
      <w:r>
        <w:rPr>
          <w:rFonts w:ascii="맑은 고딕" w:hAnsi="맑은 고딕" w:eastAsia="맑은 고딕" w:cs="맑은 고딕"/>
          <w:color w:val="000000"/>
        </w:rPr>
        <w:t>민사소송법 제224조 제2항, 비송사건절차법 제248조, 제250조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#폐기물관리법판례 #대법원판례 #2012마1163 #인허가서대리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