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건설폐기물의재활용촉진에관한법률위반</w:t>
      </w:r>
    </w:p>
    <w:p>
      <w:pPr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2013도15027 (2015.01.15 선고) · 형사</w:t>
      </w:r>
    </w:p>
    <w:p/>
    <w:p/>
    <w:p>
      <w:pPr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2013도15027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2015.01.15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형사</w:t>
            </w:r>
          </w:p>
        </w:tc>
      </w:tr>
    </w:tbl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판시사항</w:t>
      </w:r>
    </w:p>
    <w:p>
      <w:r>
        <w:rPr>
          <w:rFonts w:ascii="맑은 고딕" w:hAnsi="맑은 고딕" w:eastAsia="맑은 고딕" w:cs="맑은 고딕"/>
          <w:color w:val="000000"/>
        </w:rPr>
        <w:t>[1] 구 건설폐기물의 재활용촉진에 관한 법률 제22조 제1항에 정한 변경허가를 받아야 하는 시기(=중요 사항의 변경행위 이전) / 건설폐기물 처리업 허가를 받은 자가 예정사업지에 건설폐기물 처리시설을 설치한 경우, 구 건설폐기물의 재활용촉진에 관한 법률 시행규칙 제13조 제1항 제2호에 정한 ‘건설폐기물 처리시설 소재지의 변경’ 행위를 완료한 것인지 여부(적극) 및 그 시설을 이용하여 영업행위에 나아갔는지와 관계 없이 같은 법 제63조 제4호에 의해 처벌되는지 여부(적극)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사안에서, 피고인이 예정사업지에 시설 등을 미리 갖춘 후 실제 영업행위를 하기 전에 변경허가를 받으면 된다고 그릇 인식한 것은 정당한 이유 있는 법률의 착오에 해당한다고 한 사례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판례 내용(발췌)</w:t>
      </w:r>
    </w:p>
    <w:p>
      <w:r>
        <w:rPr>
          <w:rFonts w:ascii="맑은 고딕" w:hAnsi="맑은 고딕" w:eastAsia="맑은 고딕" w:cs="맑은 고딕"/>
          <w:color w:val="000000"/>
        </w:rPr>
        <w:t>【이    유】  상고이유를 판단한다.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1. 건설폐기물 처리시설 소재지 변경행위의 완료에 관한 상고이유에 대하여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가. 구 「건설폐기물의 재활용촉진에 관한 법률」(2013. 6. 12. 법률 제11879호로 개정되기 전의 것. 이하 ‘구 건설폐기물법’이라 한다) 제21조, 구 「건설폐기물의 재활용촉진에 관한 법률 시행규칙」(2013. 12. 13. 환경부령 제529호로 개정되기 전의 것. 이하 ‘구 건설폐기물법 시행규칙’이라 한다) 제12조에 의하면, 건설폐기물 처리업의 신규허가를 받으려는 자는 건설폐기물 처리 사업계획서를 관할 행정청에 제출하여 그 계획이 적절하다는 통보를 받은 경우에 한하여 필요한 시설·장비·사업장 부지 등을 갖춘 다음 건설폐기물 처리업 허가신청서를 제출하여 관할 행정청의 허가를 받아야 하고, 구 건설폐기물법 제62조 제1호는 ‘제21조 제3항을 위반하여 허가를 받지 아니하고 건설폐기물 처리업의 영업행위를 한 자’를 처벌하도록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반면 구 건설폐기물법 제22조 제1항은 “제21조 제3항에 따른 허가를 받은 자는 허가받은 사항 중 환경부령으로 정하는 중요 사항을 변경하려면 변경허가를 받아야 한다.”고 규정하고, 구 건설폐기물법 시행규칙 제13조 제1항은 ‘건설폐기물 처리시설 소재지의 변경’(제2호), ‘건설폐기물 처리시설 등의 신설’(제4호) 등을 변경허가를 받아야 하는 중요 사항으로 규정하며, 구 건설폐기물법 제63조 제4호는 ‘제22조 제1항에 따른 변경허가를 받지 아니하고 중요 사항을 변경한 자’를 처벌하도록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이러한 건설폐기물 처리업 신규허가와 변경허가 절차의 차이, 이를 위반한 경우의 처벌대상이 되는 행위의 차이 등 관련 법령의 문언과 내용 등에 비추어 보면, 구 건설폐기물법 제22조 제1항에 정한 변경허가는 중요 사항의 변경행위 이전에 받아야 하고, 건설폐기물 처리업 허가를 받은 자가 예정사업지에 건설폐기물 처리시설을 설치하였다면 이로써 구 건설폐기물법 시행규칙 제13조 제1항 제2호에 정한 ‘건설폐기물 처리시설 소재지의 변경’ 행위를 완료하였다고 할 것이므로, 그 건설폐기물 처리시설을 이용하여 영업행위에 나아갔는지 여부와 관계 없이 구 건설폐기물법 제63조 제4호에 의하여 처벌된다고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나. 원심판결 이유와 기록에 의하면, ① 피고인 2 주식회사(이하 ‘피고인 2 회사’라 한다)은 1995. 2. 18. 건설폐기물 중간처리 영업허가를 받아 인천 서구 (주소 1 생략) 일원에서 영업을 해 온 사실, ② 피고인 2 회사는 기존 사업장 부지가 검단일반산업단지 조성 사업에 편입되게 되자 검단일반산업단지 3단계 예정지 내 폐기물처리시설 집단화단지에 소재한 인천 서구 (주소 2 생략) 답 23,024㎡ 등 5필지의 토지를 매수하여 2011. 5.경부터 2011. 10. 5.경까지 건물 3개동을 신축하고 건설폐기물 처리시설을 설치한 사실, ③ 피고인 2 회사는 2011. 10. 10.경 인천 서구청장에게 건설폐기물 처리시설 소재지의 변경 및 건설폐기물 처리시설 신설 등을 내용으로 하는 건설폐기물 처리업 변경허가신청서를 제출하여 2011. 10. 20. 변경허가를 받은 사실을 알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 xml:space="preserve">  다. 이러한 사실관계를 앞서 본 법리와 관련 법령에 비 …</w:t>
      </w:r>
    </w:p>
    <w:p/>
    <w:p/>
    <w:p>
      <w:pPr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참조 조문</w:t>
      </w:r>
    </w:p>
    <w:p>
      <w:r>
        <w:rPr>
          <w:rFonts w:ascii="맑은 고딕" w:hAnsi="맑은 고딕" w:eastAsia="맑은 고딕" w:cs="맑은 고딕"/>
          <w:color w:val="000000"/>
        </w:rPr>
        <w:t>[1] 구 건설폐기물의 재활용촉진에 관한 법률(2013. 6. 12. 법률 제11879호로 개정되기 전의 것) 제21조, 제22조 제1항, 제62조 제1호, 제63조 제4호, 구 건설폐기물의 재활용촉진에 관한 법률 시행규칙(2013. 12. 13. 환경부령 제529호로 개정되기 전의 것) 제12조, 제13조 제1항 제2호, 제4호 / [2] 형법 제16조, 구 건설폐기물의 재활용촉진에 관한 법률(2013. 6. 12. 법률 제11879호로 개정되기 전의 것) 제22조 제1항, 제63조 제4호, 제65조, 구 건설폐기물의 재활용촉진에 관한 법률 시행규칙(2013. 12. 13. 환경부령 제529호로 개정되기 전의 것) 제13조 제1항 제2호, 제4호, 형사소송법 제325조</w:t>
      </w:r>
    </w:p>
    <w:p>
      <w:pPr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spacing w:before="16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#재활용 #건설폐기물 #대법원판례 #2013도15027 #인허가서대리</w:t>
      </w:r>
    </w:p>
    <w:p>
      <w:pPr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