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폐기물처리사업계획서반려처분취소</w:t>
      </w:r>
    </w:p>
    <w:p>
      <w:pPr>
        <w:pStyle w:val="law1"/>
        <w:spacing w:after="160"/>
      </w:pPr>
      <w:r>
        <w:rPr>
          <w:rFonts w:ascii="맑은 고딕" w:hAnsi="맑은 고딕" w:eastAsia="맑은 고딕" w:cs="맑은 고딕"/>
          <w:color w:val="000000"/>
        </w:rPr>
        <w:t>대법원 2013두10731 (2013.10.31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2013두10731</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2013.10.31</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폐기물처리 사업계획서가 적합한지를 심사하면서 폐기물관리법 제25조 제2항 각 호에서 열거한 사항 외의 사유로 부적합 통보를 할 수 있는지 여부(적극)</w:t>
      </w:r>
      <w:r>
        <w:rPr>
          <w:rFonts w:ascii="맑은 고딕" w:hAnsi="맑은 고딕" w:eastAsia="맑은 고딕" w:cs="맑은 고딕"/>
          <w:color w:val="000000"/>
        </w:rPr>
        <w:br/>
      </w:r>
      <w:r>
        <w:rPr>
          <w:rFonts w:ascii="맑은 고딕" w:hAnsi="맑은 고딕" w:eastAsia="맑은 고딕" w:cs="맑은 고딕"/>
          <w:color w:val="000000"/>
        </w:rPr>
        <w:t>[2] 기존 폐기물 수집·운반·처리업체가 폐기물 수집·운반·처리를 대행하고 있는 상황에서 신규 업체가 폐기물처리업 허가를 신청하는 경우, 행정청이 기존의 업체만으로 폐기물의 수집·운반·처리에 별다른 지장이 없다는 사유만으로 신청을 거부할 수 있는지 여부(한정 소극)</w:t>
      </w:r>
    </w:p>
    <w:p/>
    <w:p/>
    <w:p>
      <w:pPr>
        <w:pStyle w:val="2"/>
        <w:spacing w:before="80"/>
      </w:pPr>
      <w:r>
        <w:rPr>
          <w:rFonts w:ascii="맑은 고딕" w:hAnsi="맑은 고딕" w:eastAsia="맑은 고딕" w:cs="맑은 고딕"/>
          <w:color w:val="000000"/>
        </w:rPr>
        <w:t>3. 판례 내용(발췌)</w:t>
      </w:r>
    </w:p>
    <w:p>
      <w:r>
        <w:rPr>
          <w:rFonts w:ascii="맑은 고딕" w:hAnsi="맑은 고딕" w:eastAsia="맑은 고딕" w:cs="맑은 고딕"/>
          <w:color w:val="000000"/>
        </w:rPr>
        <w:t>【이    유】  상고이유를 판단한다.</w:t>
      </w:r>
      <w:r>
        <w:rPr>
          <w:rFonts w:ascii="맑은 고딕" w:hAnsi="맑은 고딕" w:eastAsia="맑은 고딕" w:cs="맑은 고딕"/>
          <w:color w:val="000000"/>
        </w:rPr>
        <w:br/>
      </w:r>
      <w:r>
        <w:rPr>
          <w:rFonts w:ascii="맑은 고딕" w:hAnsi="맑은 고딕" w:eastAsia="맑은 고딕" w:cs="맑은 고딕"/>
          <w:color w:val="000000"/>
        </w:rPr>
        <w:t xml:space="preserve">  1. 상고이유 제1점에 관하여</w:t>
      </w:r>
      <w:r>
        <w:rPr>
          <w:rFonts w:ascii="맑은 고딕" w:hAnsi="맑은 고딕" w:eastAsia="맑은 고딕" w:cs="맑은 고딕"/>
          <w:color w:val="000000"/>
        </w:rPr>
        <w:br/>
      </w:r>
      <w:r>
        <w:rPr>
          <w:rFonts w:ascii="맑은 고딕" w:hAnsi="맑은 고딕" w:eastAsia="맑은 고딕" w:cs="맑은 고딕"/>
          <w:color w:val="000000"/>
        </w:rPr>
        <w:t xml:space="preserve">  관련 법리와 원심판결 이유 및 원심이 채택한 증거에 비추어 살펴보면, 원심이 그 판시와 같은 이유를 들어 이 사건 처분을 폐기물관리법 제25조 제2항이 정한 사업계획서 부적합 통보라고 인정한 것은 정당하고, 거기에 상고이유 주장과 같이 이 사건 처분의 해석에 관한 법리를 오해하거나 논리와 경험의 법칙을 위반하여 자유심증주의의 한계를 벗어나는 등의 위법이 없다.</w:t>
      </w:r>
      <w:r>
        <w:rPr>
          <w:rFonts w:ascii="맑은 고딕" w:hAnsi="맑은 고딕" w:eastAsia="맑은 고딕" w:cs="맑은 고딕"/>
          <w:color w:val="000000"/>
        </w:rPr>
        <w:br/>
      </w:r>
      <w:r>
        <w:rPr>
          <w:rFonts w:ascii="맑은 고딕" w:hAnsi="맑은 고딕" w:eastAsia="맑은 고딕" w:cs="맑은 고딕"/>
          <w:color w:val="000000"/>
        </w:rPr>
        <w:t xml:space="preserve">  2. 상고이유 제2점에 관하여</w:t>
      </w:r>
      <w:r>
        <w:rPr>
          <w:rFonts w:ascii="맑은 고딕" w:hAnsi="맑은 고딕" w:eastAsia="맑은 고딕" w:cs="맑은 고딕"/>
          <w:color w:val="000000"/>
        </w:rPr>
        <w:br/>
      </w:r>
      <w:r>
        <w:rPr>
          <w:rFonts w:ascii="맑은 고딕" w:hAnsi="맑은 고딕" w:eastAsia="맑은 고딕" w:cs="맑은 고딕"/>
          <w:color w:val="000000"/>
        </w:rPr>
        <w:t>행정청은 폐기물처리 사업계획서의 적합 여부를 심사함에 있어서 폐기물관리법 제25조 제2항 각 호에서 열거된 사항을 검토한 결과 이에 저촉되거나 문제되는 사항이 없다고 하더라도 폐기물의 수집·운반·처리에 관한 안정적이고 효율적인 책임행정의 이행 등 공익을 해칠 우려가 있다고 인정되는 경우에는 이를 이유로 사업계획서의 부적합 통보를 할 수 있다고 보아야 할 것이다.</w:t>
      </w:r>
      <w:r>
        <w:rPr>
          <w:rFonts w:ascii="맑은 고딕" w:hAnsi="맑은 고딕" w:eastAsia="맑은 고딕" w:cs="맑은 고딕"/>
          <w:color w:val="000000"/>
        </w:rPr>
        <w:br/>
      </w:r>
      <w:r>
        <w:rPr>
          <w:rFonts w:ascii="맑은 고딕" w:hAnsi="맑은 고딕" w:eastAsia="맑은 고딕" w:cs="맑은 고딕"/>
          <w:color w:val="000000"/>
        </w:rPr>
        <w:t xml:space="preserve">  피고가 이 사건 처분의 근거로 삼은 ‘달서구 생활폐기물 및 사업장폐기물 수집·운반업 선정기준’(이하 ‘이 사건 선정기준’이라 한다)이 폐기물관리법 제25조 제2항 각 호가 정한 사업계획서 검토사항이나, 환경부예규인 ‘폐기물처리업 허가업무처리지침’(이하 ‘이 사건 지침’이라 한다)이 정한 사업계획서 부적합 통보사유 이외의 사유를 신규 폐기물 수집·운반업체의 선정에 관한 기준으로 정하고 있다는 이유만으로 이 사건 선정기준을 무효라고 할 수는 없다. 같은 취지의 원심 판단은 정당하고, 거기에 상고이유 주장과 같이 이 사건 선정기준의 효력에 관한 법리를 오해하는 등의 위법이 없다.</w:t>
      </w:r>
      <w:r>
        <w:rPr>
          <w:rFonts w:ascii="맑은 고딕" w:hAnsi="맑은 고딕" w:eastAsia="맑은 고딕" w:cs="맑은 고딕"/>
          <w:color w:val="000000"/>
        </w:rPr>
        <w:br/>
      </w:r>
      <w:r>
        <w:rPr>
          <w:rFonts w:ascii="맑은 고딕" w:hAnsi="맑은 고딕" w:eastAsia="맑은 고딕" w:cs="맑은 고딕"/>
          <w:color w:val="000000"/>
        </w:rPr>
        <w:t xml:space="preserve">  3. 상고이유 제3점에 관하여 </w:t>
      </w:r>
      <w:r>
        <w:rPr>
          <w:rFonts w:ascii="맑은 고딕" w:hAnsi="맑은 고딕" w:eastAsia="맑은 고딕" w:cs="맑은 고딕"/>
          <w:color w:val="000000"/>
        </w:rPr>
        <w:br/>
      </w:r>
      <w:r>
        <w:rPr>
          <w:rFonts w:ascii="맑은 고딕" w:hAnsi="맑은 고딕" w:eastAsia="맑은 고딕" w:cs="맑은 고딕"/>
          <w:color w:val="000000"/>
        </w:rPr>
        <w:t xml:space="preserve">폐기물처리 사업계획서의 적합 여부를 결정하는 행정청은 기존 폐기물 수집·운반·처리업체가 관할 구역 안에서 폐기물 수집·운반·처리를 대행하고 있는 상황에서 신규 업체가 새로이 폐기물처리업 허가를 신청하는 경우에, 그 관할 구역 안의 폐기물 발생량에 비하여 기존 업체의 시설이 과다하여 신규허가를 한다면 업체 사이의 과당경쟁 및 무계획적인 수집·운반·처리로 인하여 폐기물의 수집·운반·처리에 관한 안정적이고 효율적인 책임행정의 이행이 불가능하게 될 것이 예상되는 특별한 사정이 있는 경우가 아니고, 또한 폐기물관리법 제25조 제7항 소정의 영업구역 제한 기타 필요한 조건을 붙이더라도 이를 해결할 수 없는 상태가 아닌 한, 기존의 업체만으로도 폐기물의 수집·운반·처리에 별다른 지장이 없다는 사유만으로 이를 거부함은 실질적으로 허가업체의 수를 유지하거나 독점적 대행권을 유지하는 것이 되어 법령의 목적에 위배되거나 객관적인 합리성과 타당성을 잃은 것으로서 위법하다 할 것이다(대법원 2011. 11. 10. 선고 2011두12283 판결 참조). </w:t>
      </w:r>
      <w:r>
        <w:rPr>
          <w:rFonts w:ascii="맑은 고딕" w:hAnsi="맑은 고딕" w:eastAsia="맑은 고딕" w:cs="맑은 고딕"/>
          <w:color w:val="000000"/>
        </w:rPr>
        <w:br/>
      </w:r>
      <w:r>
        <w:rPr>
          <w:rFonts w:ascii="맑은 고딕" w:hAnsi="맑은 고딕" w:eastAsia="맑은 고딕" w:cs="맑은 고딕"/>
          <w:color w:val="000000"/>
        </w:rPr>
        <w:t xml:space="preserve">  원심판결 이유 및 원심이 채택한 증거에 의하면, 피고는 2011. 12. 27. 소외 1 회사와 사이에 대구 달서구 본리동, 감상동, 죽전동 일부, 장기동, 이곡1·2동, 용산1·2동, 신당동에서 발생하는 생활폐기물에 관하여, 소외 2 회사와 사이에 같은 구 상인1동 일부, 상인2동, 월송1·2동, 진천동, 도원동, 송현2동, 본동에서 발생하는 생활폐기물에 관하여 각 대행기간을 2012. 1. 1.부터 2014. 12. 31.까지로 정하여 수집·운반 …</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폐기물관리법 제25조 제2항 / [2] 폐기물관리법 제25조 제2항, 제7항</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#폐기물처리사업계획서 #대법원판례 #2013두10731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