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폐기물처리 사업장내 보관시설 및 파쇄시설을 건축물로 볼 수 있는지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2014두11038 (2014.11.27 선고) · 일반행정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2014두11038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2014.11.27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일반행정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판결요지</w:t>
      </w:r>
    </w:p>
    <w:p>
      <w:r>
        <w:rPr>
          <w:rFonts w:ascii="맑은 고딕" w:hAnsi="맑은 고딕" w:eastAsia="맑은 고딕" w:cs="맑은 고딕"/>
          <w:color w:val="000000"/>
        </w:rPr>
        <w:t>파쇄시설은 기계장치, 보관시설은 토지의 정착물에 불과하여 별도의 시설물로 볼 수 없어, 건축물 또는 저장시설에 해당하지 않아 별도합산 적용 불가함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#대법원판례 #2014두11038 #인허가서대리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