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폐기물처리시설설치비용부담금부과처분취소청구</w:t>
      </w:r>
    </w:p>
    <w:p>
      <w:pPr>
        <w:pStyle w:val="law1"/>
        <w:spacing w:after="160"/>
      </w:pPr>
      <w:r>
        <w:rPr>
          <w:rFonts w:ascii="맑은 고딕" w:hAnsi="맑은 고딕" w:eastAsia="맑은 고딕" w:cs="맑은 고딕"/>
          <w:color w:val="000000"/>
        </w:rPr>
        <w:t>대법원 2016두54039 (2019.01.10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2016두54039</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2019.01.10</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
    <w:p>
      <w:pPr>
        <w:pStyle w:val="2"/>
        <w:spacing w:before="80"/>
      </w:pPr>
      <w:r>
        <w:rPr>
          <w:rFonts w:ascii="맑은 고딕" w:hAnsi="맑은 고딕" w:eastAsia="맑은 고딕" w:cs="맑은 고딕"/>
          <w:color w:val="000000"/>
        </w:rPr>
        <w:t>3. 판례 내용(발췌)</w:t>
      </w:r>
    </w:p>
    <w:p>
      <w:r>
        <w:rPr>
          <w:rFonts w:ascii="맑은 고딕" w:hAnsi="맑은 고딕" w:eastAsia="맑은 고딕" w:cs="맑은 고딕"/>
          <w:color w:val="000000"/>
        </w:rPr>
        <w:t>【이    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 xml:space="preserve">  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w:t>
      </w:r>
      <w:r>
        <w:rPr>
          <w:rFonts w:ascii="맑은 고딕" w:hAnsi="맑은 고딕" w:eastAsia="맑은 고딕" w:cs="맑은 고딕"/>
          <w:color w:val="000000"/>
        </w:rPr>
        <w:br/>
      </w:r>
      <w:r>
        <w:rPr>
          <w:rFonts w:ascii="맑은 고딕" w:hAnsi="맑은 고딕" w:eastAsia="맑은 고딕" w:cs="맑은 고딕"/>
          <w:color w:val="000000"/>
        </w:rPr>
        <w:t>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w:t>
      </w:r>
      <w:r>
        <w:rPr>
          <w:rFonts w:ascii="맑은 고딕" w:hAnsi="맑은 고딕" w:eastAsia="맑은 고딕" w:cs="맑은 고딕"/>
          <w:color w:val="000000"/>
        </w:rPr>
        <w:br/>
      </w:r>
      <w:r>
        <w:rPr>
          <w:rFonts w:ascii="맑은 고딕" w:hAnsi="맑은 고딕" w:eastAsia="맑은 고딕" w:cs="맑은 고딕"/>
          <w:color w:val="000000"/>
        </w:rPr>
        <w:t xml:space="preserve">  2.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w:t>
      </w:r>
      <w:r>
        <w:rPr>
          <w:rFonts w:ascii="맑은 고딕" w:hAnsi="맑은 고딕" w:eastAsia="맑은 고딕" w:cs="맑은 고딕"/>
          <w:color w:val="000000"/>
        </w:rPr>
        <w:br/>
      </w:r>
      <w:r>
        <w:rPr>
          <w:rFonts w:ascii="맑은 고딕" w:hAnsi="맑은 고딕" w:eastAsia="맑은 고딕" w:cs="맑은 고딕"/>
          <w:color w:val="000000"/>
        </w:rPr>
        <w:t>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 …</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지방자치법 제22조, 행정규제기본법 제4조 제3항 / [2] 구 폐기물처리시설 설치촉진 및 주변지역지원 등에 관한 법률(2015. 2. 3. 법률 제13170호로 개정되기 전의 것) 제2조, 제6조, 제20조, 구 폐기물처리시설 설치촉진 및 주변지역지원 등에 관한 법률 시행령(2014. 2. 11. 대통령령 제25165호로 개정되기 전의 것) 제4조 / [3] 지방자치법 제22조, 행정규제기본법 제4조 제3항,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#설치비용부담금 #폐기물처리시설 #대법원판례 #2016두54039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