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개발제한구역의지정및관리에관한특별조치법위반·폐기물관리법위반</w:t>
      </w:r>
    </w:p>
    <w:p>
      <w:pPr>
        <w:pStyle w:val="law1"/>
        <w:spacing w:after="160"/>
      </w:pPr>
      <w:r>
        <w:rPr>
          <w:rFonts w:ascii="맑은 고딕" w:hAnsi="맑은 고딕" w:eastAsia="맑은 고딕" w:cs="맑은 고딕"/>
          <w:color w:val="000000"/>
        </w:rPr>
        <w:t>대법원 2017도7321 (2017.09.21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2017도7321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2017.09.21</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개발제한구역의 지정 및 관리에 관한 특별조치법 제30조 제1항에 의하여 행정청으로부터 시정명령을 받은 자가 이를 위반한 경우, 같은 법 제32조 제2호에 정한 처벌을 하기 위하여는 시정명령이 적법하여야 하는지 여부(적극) / 시정명령이 당연무효는 아니지만 위법한 것으로 인정되는 경우, 같은 법 제32조 제2호 위반죄가 성립하는지 여부(소극)</w:t>
      </w:r>
      <w:r>
        <w:rPr>
          <w:rFonts w:ascii="맑은 고딕" w:hAnsi="맑은 고딕" w:eastAsia="맑은 고딕" w:cs="맑은 고딕"/>
          <w:color w:val="000000"/>
        </w:rPr>
        <w:br/>
      </w:r>
      <w:r>
        <w:rPr>
          <w:rFonts w:ascii="맑은 고딕" w:hAnsi="맑은 고딕" w:eastAsia="맑은 고딕" w:cs="맑은 고딕"/>
          <w:color w:val="000000"/>
        </w:rPr>
        <w:t>[2] 피고인 甲 주식회사의 대표이사 피고인 乙이 개발제한구역 내에 무단으로 고철을 쌓아 놓은 행위 등에 대하여 관할관청으로부터 원상복구를 명하는 시정명령을 받고도 이행하지 아니하였다고 하여 개발제한구역의 지정 및 관리에 관한 특별조치법 위반으로 기소된 사안에서, 관할관청이 침해적 행정처분인 시정명령을 하면서 적법한 사전통지를 하거나 의견제출 기회를 부여하지 않았고 이를 정당화할 사유도 없어 시정명령은 절차적 하자가 있어 위법하므로, 피고인 乙에 대하여 같은 법 제32조 제2호 위반죄가 성립하지 않는다고 한 사례</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[1] 개발제한구역의 지정 및 관리에 관한 특별조치법(이하 ‘개발제한구역법’이라 한다) 제30조 제1항에 의하여 행정청으로부터 시정명령을 받은 자가 이를 위반한 경우, 그로 인하여 개발제한구역법 제32조 제2호에 정한 처벌을 하기 위하여는 시정명령이 적법한 것이라야 하고, 시정명령이 당연무효가 아니더라도 위법한 것으로 인정되는 한 개발제한구역법 제32조 제2호 위반죄가 성립될 수 없다.</w:t>
      </w:r>
      <w:r>
        <w:rPr>
          <w:rFonts w:ascii="맑은 고딕" w:hAnsi="맑은 고딕" w:eastAsia="맑은 고딕" w:cs="맑은 고딕"/>
          <w:color w:val="000000"/>
        </w:rPr>
        <w:br/>
      </w:r>
      <w:r>
        <w:rPr>
          <w:rFonts w:ascii="맑은 고딕" w:hAnsi="맑은 고딕" w:eastAsia="맑은 고딕" w:cs="맑은 고딕"/>
          <w:color w:val="000000"/>
        </w:rPr>
        <w:t>[2] 피고인 甲 주식회사의 대표이사 피고인 乙이 개발제한구역 내에 무단으로 고철을 쌓아 놓은 행위 등에 대하여 관할관청으로부터 원상복구를 명하는 시정명령을 받고도 이행하지 아니하였다고 하여 개발제한구역의 지정 및 관리에 관한 특별조치법(이하 ‘개발제한구역법’이라 한다) 위반으로 기소된 사안에서, 관할관청이 침해적 행정처분인 시정명령을 하면서 피고인 乙에게 행정절차법 제21조, 제22조에 따른 적법한 사전통지를 하거나 의견제출 기회를 부여하지 않았고 이를 정당화할 사유도 없으므로 시정명령은 절차적 하자가 있어 위법하고, 시정명령이 당연무효가 아니더라도 위법한 것으로 인정되는 이상 피고인 乙이 시정명령을 이행하지 아니하였더라도 피고인 乙에 대하여 개발제한구역법 제32조 제2호 위반죄가 성립하지 아니함에도, 이와 달리 보아 피고인들에게 유죄를 인정한 원심판단에 행정행위의 공정력과 선결문제, 개발제한구역법 제32조의 시정명령위반죄에 관한 법리오해의 위법이 있다고 한 사례.</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개발제한구역의 지정 및 관리에 관한 특별조치법 제30조 제1항, 제32조 제2호 / [2] 개발제한구역의 지정 및 관리에 관한 특별조치법 제30조 제1항, 제32조 제2호, 제33조, 행정절차법 제21조, 제22조, 형사소송법 제325조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#2017도7321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