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자원의절약과재활용촉진에관한법률위반·폐기물관리법위반</w:t>
      </w:r>
    </w:p>
    <w:p>
      <w:pPr>
        <w:pStyle w:val="law1"/>
        <w:spacing w:after="160"/>
      </w:pPr>
      <w:r>
        <w:rPr>
          <w:rFonts w:ascii="맑은 고딕" w:hAnsi="맑은 고딕" w:eastAsia="맑은 고딕" w:cs="맑은 고딕"/>
          <w:color w:val="000000"/>
        </w:rPr>
        <w:t>대법원 2017도7492 (2017.11.14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2017도7492</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2017.11.14</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제67조 양벌규정의 취지 및 위 양벌규정이 폐기물처리시설의 설치·운영자가 아니면서 그러한 업무를 실제로 집행하는 자에 대한 처벌의 근거 규정이 되는지 여부(적극)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color w:val="000000"/>
        </w:rPr>
        <w:t>[2]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rPr>
        <w:t>[3]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폐기물관리법 제31조 제1항, 제66조 제13호 / [2] 폐기물관리법 제29조 제2항, 제31조 제1항, 제66조 제13호 / [3] 폐기물관리법 제66조, 제67조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#재활용 #대법원판례 #2017도7492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