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건설폐기물처리사업계획서부적합통보처분취소</w:t>
      </w:r>
    </w:p>
    <w:p>
      <w:pPr>
        <w:pStyle w:val="law1"/>
        <w:spacing w:after="160"/>
      </w:pPr>
      <w:r>
        <w:rPr>
          <w:rFonts w:ascii="맑은 고딕" w:hAnsi="맑은 고딕" w:eastAsia="맑은 고딕" w:cs="맑은 고딕"/>
          <w:color w:val="000000"/>
        </w:rPr>
        <w:t>대법원 2017두46783 (2017.10.31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2017두46783</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2017.10.31</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color w:val="000000"/>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건설폐기물의 재활용촉진에 관한 법률 제21조 제1항, 제2항, 제3항, 건설폐기물의 재활용촉진에 관한 법률 시행규칙 제12조 제2항 / [2] 헌법 제35조 제1항, 환경정책기본법 제1조, 제2조, 제4조, 제5조, 제6조, 민법 제217조 제1항, 환경정책기본법 제3조 제1호, 제12조 제1항, 제13조 / [3] 건설폐기물의 재활용촉진에 관한 법률 제21조 제1항, 제2항, 행정소송법 제27조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#건설폐기물 #폐기물처리사업계획서 #부적합통보 #대법원판례 #2017두46783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