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body>
    <w:p>
      <w:pPr>
        <w:spacing w:after="60"/>
      </w:pPr>
      <w:r>
        <w:rPr>
          <w:rFonts w:ascii="맑은 고딕" w:hAnsi="맑은 고딕" w:eastAsia="맑은 고딕" w:cs="맑은 고딕"/>
          <w:b/>
          <w:color w:val="000000"/>
          <w:sz w:val="30"/>
        </w:rPr>
        <w:t>폐기물관리법위반</w:t>
      </w:r>
    </w:p>
    <w:p>
      <w:pPr>
        <w:pStyle w:val="law1"/>
        <w:spacing w:after="160"/>
      </w:pPr>
      <w:r>
        <w:rPr>
          <w:rFonts w:ascii="맑은 고딕" w:hAnsi="맑은 고딕" w:eastAsia="맑은 고딕" w:cs="맑은 고딕"/>
          <w:color w:val="000000"/>
        </w:rPr>
        <w:t>대법원 2019도1118 (2020.05.14 선고) · 형사</w:t>
      </w:r>
    </w:p>
    <w:p/>
    <w:p/>
    <w:p>
      <w:pPr>
        <w:pStyle w:val="2"/>
      </w:pPr>
      <w:r>
        <w:rPr>
          <w:rFonts w:ascii="맑은 고딕" w:hAnsi="맑은 고딕" w:eastAsia="맑은 고딕" w:cs="맑은 고딕"/>
          <w:color w:val="000000"/>
        </w:rPr>
        <w:t>1. 사건 개요</w:t>
      </w:r>
    </w:p>
    <w:tbl>
      <w:tblPr>
        <w:tblW w:type="pct" w:w="5000"/>
        <w:tblLook w:firstColumn="1" w:firstRow="1" w:lastColumn="0" w:lastRow="0" w:noHBand="0" w:noVBand="1" w:val="04A0"/>
        <w:tblBorders>
          <w:top w:val="single" w:sz="14" w:space="0" w:color="808080"/>
          <w:left w:val="single" w:sz="14" w:space="0" w:color="808080"/>
          <w:bottom w:val="single" w:sz="14" w:space="0" w:color="808080"/>
          <w:right w:val="single" w:sz="14" w:space="0" w:color="808080"/>
          <w:insideH w:val="single" w:sz="4" w:space="0" w:color="B7B7B7"/>
          <w:insideV w:val="single" w:sz="4" w:space="0" w:color="B7B7B7"/>
        </w:tblBorders>
      </w:tblPr>
      <w:tblGrid>
        <w:gridCol w:w="4513"/>
        <w:gridCol w:w="4513"/>
      </w:tblGrid>
      <w:tr>
        <w:tc>
          <w:tcPr>
            <w:tcW w:type="pct" w:w="1200"/>
            <w:shd w:val="clear" w:color="auto" w:fill="F2F2F2"/>
          </w:tcPr>
          <w:p>
            <w:r/>
            <w:r>
              <w:rPr>
                <w:rFonts w:ascii="맑은 고딕" w:hAnsi="맑은 고딕" w:eastAsia="맑은 고딕" w:cs="맑은 고딕"/>
                <w:b/>
                <w:color w:val="000000"/>
                <w:sz w:val="19"/>
              </w:rPr>
              <w:t>사건번호</w:t>
            </w:r>
          </w:p>
        </w:tc>
        <w:tc>
          <w:tcPr>
            <w:tcW w:type="pct" w:w="3800"/>
          </w:tcPr>
          <w:p>
            <w:r/>
            <w:r>
              <w:rPr>
                <w:rFonts w:ascii="맑은 고딕" w:hAnsi="맑은 고딕" w:eastAsia="맑은 고딕" w:cs="맑은 고딕"/>
                <w:b w:val="0"/>
                <w:color w:val="000000"/>
                <w:sz w:val="19"/>
              </w:rPr>
              <w:t>2019도1118</w:t>
            </w:r>
          </w:p>
        </w:tc>
      </w:tr>
      <w:tr>
        <w:tc>
          <w:tcPr>
            <w:tcW w:type="pct" w:w="1200"/>
            <w:shd w:val="clear" w:color="auto" w:fill="F2F2F2"/>
          </w:tcPr>
          <w:p>
            <w:r/>
            <w:r>
              <w:rPr>
                <w:rFonts w:ascii="맑은 고딕" w:hAnsi="맑은 고딕" w:eastAsia="맑은 고딕" w:cs="맑은 고딕"/>
                <w:b/>
                <w:color w:val="000000"/>
                <w:sz w:val="19"/>
              </w:rPr>
              <w:t>선고일자</w:t>
            </w:r>
          </w:p>
        </w:tc>
        <w:tc>
          <w:tcPr>
            <w:tcW w:type="pct" w:w="3800"/>
          </w:tcPr>
          <w:p>
            <w:r/>
            <w:r>
              <w:rPr>
                <w:rFonts w:ascii="맑은 고딕" w:hAnsi="맑은 고딕" w:eastAsia="맑은 고딕" w:cs="맑은 고딕"/>
                <w:b w:val="0"/>
                <w:color w:val="000000"/>
                <w:sz w:val="19"/>
              </w:rPr>
              <w:t>2020.05.14</w:t>
            </w:r>
          </w:p>
        </w:tc>
      </w:tr>
      <w:tr>
        <w:tc>
          <w:tcPr>
            <w:tcW w:type="pct" w:w="1200"/>
            <w:shd w:val="clear" w:color="auto" w:fill="F2F2F2"/>
          </w:tcPr>
          <w:p>
            <w:r/>
            <w:r>
              <w:rPr>
                <w:rFonts w:ascii="맑은 고딕" w:hAnsi="맑은 고딕" w:eastAsia="맑은 고딕" w:cs="맑은 고딕"/>
                <w:b/>
                <w:color w:val="000000"/>
                <w:sz w:val="19"/>
              </w:rPr>
              <w:t>법원</w:t>
            </w:r>
          </w:p>
        </w:tc>
        <w:tc>
          <w:tcPr>
            <w:tcW w:type="pct" w:w="3800"/>
          </w:tcPr>
          <w:p>
            <w:r/>
            <w:r>
              <w:rPr>
                <w:rFonts w:ascii="맑은 고딕" w:hAnsi="맑은 고딕" w:eastAsia="맑은 고딕" w:cs="맑은 고딕"/>
                <w:b w:val="0"/>
                <w:color w:val="000000"/>
                <w:sz w:val="19"/>
              </w:rPr>
              <w:t>대법원</w:t>
            </w:r>
          </w:p>
        </w:tc>
      </w:tr>
      <w:tr>
        <w:tc>
          <w:tcPr>
            <w:tcW w:type="pct" w:w="1200"/>
            <w:shd w:val="clear" w:color="auto" w:fill="F2F2F2"/>
          </w:tcPr>
          <w:p>
            <w:r/>
            <w:r>
              <w:rPr>
                <w:rFonts w:ascii="맑은 고딕" w:hAnsi="맑은 고딕" w:eastAsia="맑은 고딕" w:cs="맑은 고딕"/>
                <w:b/>
                <w:color w:val="000000"/>
                <w:sz w:val="19"/>
              </w:rPr>
              <w:t>사건종류</w:t>
            </w:r>
          </w:p>
        </w:tc>
        <w:tc>
          <w:tcPr>
            <w:tcW w:type="pct" w:w="3800"/>
          </w:tcPr>
          <w:p>
            <w:r/>
            <w:r>
              <w:rPr>
                <w:rFonts w:ascii="맑은 고딕" w:hAnsi="맑은 고딕" w:eastAsia="맑은 고딕" w:cs="맑은 고딕"/>
                <w:b w:val="0"/>
                <w:color w:val="000000"/>
                <w:sz w:val="19"/>
              </w:rPr>
              <w:t>형사</w:t>
            </w:r>
          </w:p>
        </w:tc>
      </w:tr>
    </w:tbl>
    <w:p/>
    <w:p/>
    <w:p>
      <w:pPr>
        <w:pStyle w:val="2"/>
        <w:spacing w:before="80"/>
      </w:pPr>
      <w:r>
        <w:rPr>
          <w:rFonts w:ascii="맑은 고딕" w:hAnsi="맑은 고딕" w:eastAsia="맑은 고딕" w:cs="맑은 고딕"/>
          <w:color w:val="000000"/>
        </w:rPr>
        <w:t>2. 판시사항</w:t>
      </w:r>
    </w:p>
    <w:p>
      <w:r>
        <w:rPr>
          <w:rFonts w:ascii="맑은 고딕" w:hAnsi="맑은 고딕" w:eastAsia="맑은 고딕" w:cs="맑은 고딕"/>
          <w:color w:val="000000"/>
        </w:rPr>
        <w:t>폐기물처리업자가 지켜야 할 준수사항으로 폐기물의 보관장소를 규정한 폐기물관리법 제25조 제9항 제1호의 ‘적정한 보관장소’는 같은 법 시행규칙의 규정에 의하여 승인이나 변경승인을 받은 임시보관시설과 임시보관장소, 그리고 보관 대상 폐기물을 처분 또는 재활용할 시설이 있는 사업장 내에 위치한 것으로서 폐기물처리업허가 또는 변경허가를 받은 보관시설에 한정되는지 여부(적극)</w:t>
      </w:r>
    </w:p>
    <w:p/>
    <w:p/>
    <w:p>
      <w:pPr>
        <w:pStyle w:val="2"/>
        <w:spacing w:before="80"/>
      </w:pPr>
      <w:r>
        <w:rPr>
          <w:rFonts w:ascii="맑은 고딕" w:hAnsi="맑은 고딕" w:eastAsia="맑은 고딕" w:cs="맑은 고딕"/>
          <w:color w:val="000000"/>
        </w:rPr>
        <w:t>3. 판결요지</w:t>
      </w:r>
    </w:p>
    <w:p>
      <w:r>
        <w:rPr>
          <w:rFonts w:ascii="맑은 고딕" w:hAnsi="맑은 고딕" w:eastAsia="맑은 고딕" w:cs="맑은 고딕"/>
          <w:color w:val="000000"/>
        </w:rPr>
        <w:t>폐기물관리법 제25조 제9항 제1호는 폐기물처리업자가 지켜야 할 준수사항으로 “환경부령으로 정하는 바에 따라 폐기물을 허가받은 사업장 내 보관시설이나 승인받은 임시보관시설 등 적정한 장소에 보관할 것”을 규정하고 있고, 이러한 위임에 따라 폐기물관리법 시행규칙(이하 ‘시행규칙’이라 한다) 제30조의2는 시행규칙 제9조 제4항에 따라 승인을 받거나 같은 조 제5항에 따라 변경승인을 받은 임시보관장소, 시행규칙 제11조 제2항에 따라 승인을 받거나 같은 조 제3항에 따라 변경승인을 받은 임시보관시설 및 시행규칙 제28조 제4항에 따라 허가를 받거나 제29조 제1항에 따라 변경허가를 받은 폐기물 보관시설을 폐기물처리업자의 폐기물 보관장소로 한정적으로 열거하고 있으며, 그 밖에 폐기물을 보관할 ‘적정한 장소’에 관한 규정을 두고 있지 않다. 그리고 폐기물관리법 시행령 제7조 제1항 제6호는 “폐기물을 처분 또는 재활용하는 자가 폐기물을 보관하는 경우에는 그 폐기물 처분시설 또는 재활용시설과 같은 사업장에 있는 보관시설에 보관할 것”을 폐기물의 처리 기준 및 방법의 하나로 규정하고 있고, 시행규칙 제28조 제4항은 폐기물처리업허가를 받고자 하는 자는 폐기물처리업의 종류에 따라 시설 및 장비명세서와 보관시설의 용량 및 그 산출근거를 확인할 수 있는 서류 등을 관할 관청에 제출하도록 규정하고 있다.</w:t>
      </w:r>
      <w:r>
        <w:rPr>
          <w:rFonts w:ascii="맑은 고딕" w:hAnsi="맑은 고딕" w:eastAsia="맑은 고딕" w:cs="맑은 고딕"/>
          <w:color w:val="000000"/>
        </w:rPr>
        <w:br/>
      </w:r>
      <w:r>
        <w:rPr>
          <w:rFonts w:ascii="맑은 고딕" w:hAnsi="맑은 고딕" w:eastAsia="맑은 고딕" w:cs="맑은 고딕"/>
          <w:color w:val="000000"/>
        </w:rPr>
        <w:t xml:space="preserve">  위와 같은 법령의 문언, 폐기물 보관장소에 관한 법령의 체계 및 폐기물처리업허가 신청을 할 때 제출하여야 할 서류에 의하여 폐기물 보관시설의 위치 등이 특정될 수 있어 보이는 점, 폐기물처리업허가에 관한 법령은 폐기물처리업허가를 받기 위한 최소한도의 요건만을 규정하여 그 사업의 적정 여부에 대하여 재량의 여지를 남겨 두고 있고 폐기물의 보관시설이 적정한지 여부에 관하여도 마찬가지로 보아야 하는 점, 폐기물 관리에 관한 법령은 폐기물 관리의 효율을 위하여 폐기물처리업허가와 검사 등 폐기물처리업자에 대한 지도·감독 및 폐기물처리업자의 형사처벌이 유기적·체계적으로 통합되도록 규정하고 있는 점 등을 종합하여 보면, 폐기물관리법 제25조 제9항 제1호의 ‘적정한 보관장소’는 시행규칙의 규정에 의하여 승인이나 변경승인을 받은 임시보관시설과 임시보관장소, 그리고 보관 대상 폐기물을 처분 또는 재활용할 시설이 있는 사업장 내에 위치한 것으로서 폐기물처리업허가 또는 변경허가를 받은 보관시설에 한정된다고 보아야 한다.</w:t>
      </w:r>
    </w:p>
    <w:p/>
    <w:p/>
    <w:p>
      <w:pPr>
        <w:pStyle w:val="2"/>
        <w:spacing w:before="80"/>
      </w:pPr>
      <w:r>
        <w:rPr>
          <w:rFonts w:ascii="맑은 고딕" w:hAnsi="맑은 고딕" w:eastAsia="맑은 고딕" w:cs="맑은 고딕"/>
          <w:color w:val="000000"/>
        </w:rPr>
        <w:t>4. 참조 조문</w:t>
      </w:r>
    </w:p>
    <w:p>
      <w:r>
        <w:rPr>
          <w:rFonts w:ascii="맑은 고딕" w:hAnsi="맑은 고딕" w:eastAsia="맑은 고딕" w:cs="맑은 고딕"/>
          <w:color w:val="000000"/>
        </w:rPr>
        <w:t>폐기물관리법 제25조 제9항 제1호, 제66조 제9호, 폐기물관리법 시행령 제7조 제1항 제6호, 폐기물관리법 시행규칙 제28조 제4항, 제30조의2</w:t>
      </w:r>
    </w:p>
    <w:p>
      <w:pPr>
        <w:pStyle w:val="note"/>
        <w:spacing w:before="120"/>
      </w:pPr>
      <w:r>
        <w:rPr>
          <w:rFonts w:ascii="맑은 고딕" w:hAnsi="맑은 고딕" w:eastAsia="맑은 고딕" w:cs="맑은 고딕"/>
          <w:color w:val="000000"/>
        </w:rPr>
        <w:t>※ 본 정리는 국가법령정보센터 판례를 정리한 참고자료이며, 구체적 사안은 판결 원문과 전문가 검토가 필요합니다.</w:t>
      </w:r>
    </w:p>
    <w:p>
      <w:pPr>
        <w:spacing w:before="160"/>
      </w:pPr>
      <w:r>
        <w:rPr>
          <w:rFonts w:ascii="맑은 고딕" w:hAnsi="맑은 고딕" w:eastAsia="맑은 고딕" w:cs="맑은 고딕"/>
          <w:color w:val="000000"/>
          <w:sz w:val="18"/>
        </w:rPr>
        <w:t>태그  #폐기물관리법판례 #대법원판례 #2019도1118 #인허가서대리</w:t>
      </w:r>
    </w:p>
    <w:p>
      <w:pPr>
        <w:pStyle w:val="mark"/>
      </w:pPr>
      <w:r>
        <w:rPr>
          <w:rFonts w:ascii="맑은 고딕" w:hAnsi="맑은 고딕" w:eastAsia="맑은 고딕" w:cs="맑은 고딕"/>
          <w:color w:val="000000"/>
        </w:rPr>
        <w:t>인허가 서대리  https://seodaeri.com/</w:t>
      </w:r>
    </w:p>
    <w:sectPr w:rsidR="00B27BFC">
      <w:pgSz w:w="11906" w:h="16838"/>
      <w:pgMar w:top="1701" w:right="1440" w:bottom="1440" w:left="1440" w:header="851" w:footer="992"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825019F" w14:textId="77777777" w:rsidR="00B27BFC" w:rsidRDefault="00B27BFC" w:rsidP="00F52617">
      <w:r>
        <w:separator/>
      </w:r>
    </w:p>
  </w:endnote>
  <w:endnote w:type="continuationSeparator" w:id="0">
    <w:p w14:paraId="7974C6BA" w14:textId="77777777" w:rsidR="00B27BFC" w:rsidRDefault="00B27BFC" w:rsidP="00F5261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CAD215" w14:textId="77777777" w:rsidR="00B27BFC" w:rsidRDefault="00B27BFC" w:rsidP="00F52617">
      <w:r>
        <w:separator/>
      </w:r>
    </w:p>
  </w:footnote>
  <w:footnote w:type="continuationSeparator" w:id="0">
    <w:p w14:paraId="7300C114" w14:textId="77777777" w:rsidR="00B27BFC" w:rsidRDefault="00B27BFC" w:rsidP="00F52617">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EB13F6"/>
    <w:multiLevelType w:val="multilevel"/>
    <w:tmpl w:val="EF2AA2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D8A3F22"/>
    <w:multiLevelType w:val="multilevel"/>
    <w:tmpl w:val="801ADFA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0AF3513"/>
    <w:multiLevelType w:val="multilevel"/>
    <w:tmpl w:val="A90A5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B35387B"/>
    <w:multiLevelType w:val="multilevel"/>
    <w:tmpl w:val="0E32E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02799665">
    <w:abstractNumId w:val="2"/>
  </w:num>
  <w:num w:numId="2" w16cid:durableId="1051461951">
    <w:abstractNumId w:val="0"/>
  </w:num>
  <w:num w:numId="3" w16cid:durableId="1212620573">
    <w:abstractNumId w:val="3"/>
  </w:num>
  <w:num w:numId="4" w16cid:durableId="627400375">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80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F52617"/>
    <w:rsid w:val="00A42A17"/>
    <w:rsid w:val="00B27BFC"/>
    <w:rsid w:val="00F52617"/>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F796CA"/>
  <w15:chartTrackingRefBased/>
  <w15:docId w15:val="{AB8F6F78-766D-4920-A396-8027FE2C1B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굴림" w:eastAsia="굴림" w:hAnsi="굴림" w:cs="굴림"/>
      <w:sz w:val="24"/>
      <w:szCs w:val="24"/>
    </w:rPr>
  </w:style>
  <w:style w:type="paragraph" w:styleId="1">
    <w:name w:val="heading 1"/>
    <w:basedOn w:val="a"/>
    <w:link w:val="1Char"/>
    <w:uiPriority w:val="9"/>
    <w:qFormat/>
    <w:pPr>
      <w:spacing w:before="100" w:beforeAutospacing="1" w:after="100" w:afterAutospacing="1"/>
      <w:outlineLvl w:val="0"/>
    </w:pPr>
    <w:rPr>
      <w:b/>
      <w:bCs/>
      <w:kern w:val="36"/>
      <w:sz w:val="48"/>
      <w:szCs w:val="48"/>
    </w:rPr>
  </w:style>
  <w:style w:type="paragraph" w:styleId="2">
    <w:name w:val="heading 2"/>
    <w:basedOn w:val="a"/>
    <w:link w:val="2Char"/>
    <w:uiPriority w:val="9"/>
    <w:qFormat/>
    <w:pPr>
      <w:spacing w:before="450" w:after="150"/>
      <w:outlineLvl w:val="1"/>
    </w:pPr>
    <w:rPr>
      <w:b/>
      <w:bCs/>
      <w:sz w:val="23"/>
      <w:szCs w:val="23"/>
    </w:rPr>
  </w:style>
  <w:style w:type="paragraph" w:styleId="3">
    <w:name w:val="heading 3"/>
    <w:basedOn w:val="a"/>
    <w:link w:val="3Char"/>
    <w:uiPriority w:val="9"/>
    <w:qFormat/>
    <w:pPr>
      <w:spacing w:before="165" w:after="75"/>
      <w:outlineLvl w:val="2"/>
    </w:pPr>
    <w:rPr>
      <w:b/>
      <w:bCs/>
      <w:sz w:val="20"/>
      <w:szCs w:val="20"/>
    </w:rPr>
  </w:style>
  <w:style w:type="paragraph" w:styleId="4">
    <w:name w:val="heading 4"/>
    <w:basedOn w:val="a"/>
    <w:link w:val="4Char"/>
    <w:uiPriority w:val="9"/>
    <w:qFormat/>
    <w:pPr>
      <w:spacing w:before="210" w:after="75"/>
      <w:outlineLvl w:val="3"/>
    </w:pPr>
    <w:rPr>
      <w:b/>
      <w:bCs/>
      <w:sz w:val="19"/>
      <w:szCs w:val="19"/>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trPr>
      <w:hidden/>
    </w:trPr>
  </w:style>
  <w:style w:type="numbering" w:default="1" w:styleId="a2">
    <w:name w:val="No List"/>
    <w:uiPriority w:val="99"/>
    <w:semiHidden/>
    <w:unhideWhenUsed/>
  </w:style>
  <w:style w:type="character" w:customStyle="1" w:styleId="1Char">
    <w:name w:val="제목 1 Char"/>
    <w:basedOn w:val="a0"/>
    <w:link w:val="1"/>
    <w:uiPriority w:val="9"/>
    <w:rPr>
      <w:rFonts w:asciiTheme="majorHAnsi" w:eastAsiaTheme="majorEastAsia" w:hAnsiTheme="majorHAnsi" w:cstheme="majorBidi"/>
      <w:color w:val="000000" w:themeColor="text1"/>
      <w:sz w:val="32"/>
      <w:szCs w:val="32"/>
    </w:rPr>
  </w:style>
  <w:style w:type="character" w:customStyle="1" w:styleId="2Char">
    <w:name w:val="제목 2 Char"/>
    <w:basedOn w:val="a0"/>
    <w:link w:val="2"/>
    <w:uiPriority w:val="9"/>
    <w:semiHidden/>
    <w:rPr>
      <w:rFonts w:asciiTheme="majorHAnsi" w:eastAsiaTheme="majorEastAsia" w:hAnsiTheme="majorHAnsi" w:cstheme="majorBidi"/>
      <w:color w:val="000000" w:themeColor="text1"/>
      <w:sz w:val="28"/>
      <w:szCs w:val="28"/>
    </w:rPr>
  </w:style>
  <w:style w:type="character" w:customStyle="1" w:styleId="3Char">
    <w:name w:val="제목 3 Char"/>
    <w:basedOn w:val="a0"/>
    <w:link w:val="3"/>
    <w:uiPriority w:val="9"/>
    <w:semiHidden/>
    <w:rPr>
      <w:rFonts w:asciiTheme="majorHAnsi" w:eastAsiaTheme="majorEastAsia" w:hAnsiTheme="majorHAnsi" w:cstheme="majorBidi"/>
      <w:color w:val="000000" w:themeColor="text1"/>
      <w:sz w:val="24"/>
      <w:szCs w:val="24"/>
    </w:rPr>
  </w:style>
  <w:style w:type="character" w:customStyle="1" w:styleId="4Char">
    <w:name w:val="제목 4 Char"/>
    <w:basedOn w:val="a0"/>
    <w:link w:val="4"/>
    <w:uiPriority w:val="9"/>
    <w:semiHidden/>
    <w:rPr>
      <w:rFonts w:asciiTheme="majorHAnsi" w:eastAsiaTheme="majorEastAsia" w:hAnsiTheme="majorHAnsi" w:cstheme="majorBidi"/>
      <w:color w:val="000000" w:themeColor="text1"/>
      <w:sz w:val="24"/>
      <w:szCs w:val="24"/>
    </w:rPr>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customStyle="1" w:styleId="page">
    <w:name w:val="page"/>
    <w:basedOn w:val="a"/>
    <w:pPr>
      <w:shd w:val="clear" w:color="auto" w:fill="FFFFFF"/>
    </w:pPr>
  </w:style>
  <w:style w:type="paragraph" w:customStyle="1" w:styleId="toolbar">
    <w:name w:val="toolbar"/>
    <w:basedOn w:val="a"/>
    <w:pPr>
      <w:jc w:val="right"/>
    </w:pPr>
    <w:rPr>
      <w:vanish/>
    </w:rPr>
  </w:style>
  <w:style w:type="paragraph" w:customStyle="1" w:styleId="btn">
    <w:name w:val="btn"/>
    <w:basedOn w:val="a"/>
    <w:pPr>
      <w:pBdr>
        <w:top w:val="single" w:sz="6" w:space="4" w:color="999999"/>
        <w:left w:val="single" w:sz="6" w:space="11" w:color="999999"/>
        <w:bottom w:val="single" w:sz="6" w:space="4" w:color="999999"/>
        <w:right w:val="single" w:sz="6" w:space="11" w:color="999999"/>
      </w:pBdr>
      <w:shd w:val="clear" w:color="auto" w:fill="FFFFFF"/>
      <w:spacing w:before="100" w:beforeAutospacing="1" w:after="100" w:afterAutospacing="1"/>
    </w:pPr>
    <w:rPr>
      <w:color w:val="333333"/>
      <w:sz w:val="18"/>
      <w:szCs w:val="18"/>
    </w:rPr>
  </w:style>
  <w:style w:type="paragraph" w:customStyle="1" w:styleId="doc-head">
    <w:name w:val="doc-head"/>
    <w:basedOn w:val="a"/>
    <w:pPr>
      <w:spacing w:before="100" w:beforeAutospacing="1" w:after="270"/>
      <w:jc w:val="center"/>
    </w:pPr>
  </w:style>
  <w:style w:type="paragraph" w:customStyle="1" w:styleId="bt">
    <w:name w:val="bt"/>
    <w:basedOn w:val="a"/>
    <w:pPr>
      <w:spacing w:before="75" w:after="45"/>
    </w:pPr>
    <w:rPr>
      <w:sz w:val="19"/>
      <w:szCs w:val="19"/>
    </w:rPr>
  </w:style>
  <w:style w:type="paragraph" w:customStyle="1" w:styleId="law-box">
    <w:name w:val="law-box"/>
    <w:basedOn w:val="a"/>
    <w:pPr>
      <w:shd w:val="clear" w:color="auto" w:fill="FBFBFB"/>
      <w:spacing w:before="120" w:after="60"/>
    </w:pPr>
  </w:style>
  <w:style w:type="paragraph" w:customStyle="1" w:styleId="note">
    <w:name w:val="note"/>
    <w:basedOn w:val="a"/>
    <w:pPr>
      <w:spacing w:before="105"/>
      <w:ind w:hanging="225"/>
    </w:pPr>
    <w:rPr>
      <w:b/>
      <w:bCs/>
      <w:sz w:val="19"/>
      <w:szCs w:val="19"/>
    </w:rPr>
  </w:style>
  <w:style w:type="paragraph" w:customStyle="1" w:styleId="src">
    <w:name w:val="src"/>
    <w:basedOn w:val="a"/>
    <w:pPr>
      <w:spacing w:before="90"/>
    </w:pPr>
    <w:rPr>
      <w:sz w:val="17"/>
      <w:szCs w:val="17"/>
    </w:rPr>
  </w:style>
  <w:style w:type="paragraph" w:customStyle="1" w:styleId="mark">
    <w:name w:val="mark"/>
    <w:basedOn w:val="a"/>
    <w:pPr>
      <w:spacing w:before="90"/>
      <w:jc w:val="right"/>
    </w:pPr>
    <w:rPr>
      <w:b/>
      <w:bCs/>
      <w:color w:val="9A9A9A"/>
      <w:spacing w:val="3"/>
      <w:sz w:val="17"/>
      <w:szCs w:val="17"/>
    </w:rPr>
  </w:style>
  <w:style w:type="paragraph" w:customStyle="1" w:styleId="runfoot">
    <w:name w:val="runfoot"/>
    <w:basedOn w:val="a"/>
    <w:pPr>
      <w:spacing w:before="240" w:after="100" w:afterAutospacing="1"/>
    </w:pPr>
    <w:rPr>
      <w:b/>
      <w:bCs/>
      <w:color w:val="666666"/>
      <w:sz w:val="17"/>
      <w:szCs w:val="17"/>
    </w:rPr>
  </w:style>
  <w:style w:type="paragraph" w:customStyle="1" w:styleId="sm">
    <w:name w:val="sm"/>
    <w:basedOn w:val="a"/>
    <w:pPr>
      <w:spacing w:before="100" w:beforeAutospacing="1" w:after="100" w:afterAutospacing="1"/>
    </w:pPr>
  </w:style>
  <w:style w:type="paragraph" w:customStyle="1" w:styleId="law">
    <w:name w:val="law"/>
    <w:basedOn w:val="a"/>
    <w:pPr>
      <w:spacing w:before="100" w:beforeAutospacing="1" w:after="100" w:afterAutospacing="1"/>
    </w:pPr>
  </w:style>
  <w:style w:type="paragraph" w:customStyle="1" w:styleId="rule">
    <w:name w:val="rule"/>
    <w:basedOn w:val="a"/>
    <w:pPr>
      <w:spacing w:before="100" w:beforeAutospacing="1" w:after="100" w:afterAutospacing="1"/>
    </w:pPr>
  </w:style>
  <w:style w:type="paragraph" w:customStyle="1" w:styleId="sep">
    <w:name w:val="sep"/>
    <w:basedOn w:val="a"/>
    <w:pPr>
      <w:spacing w:before="100" w:beforeAutospacing="1" w:after="100" w:afterAutospacing="1"/>
    </w:pPr>
  </w:style>
  <w:style w:type="paragraph" w:customStyle="1" w:styleId="grp">
    <w:name w:val="grp"/>
    <w:basedOn w:val="a"/>
    <w:pPr>
      <w:spacing w:before="100" w:beforeAutospacing="1" w:after="100" w:afterAutospacing="1"/>
    </w:pPr>
  </w:style>
  <w:style w:type="paragraph" w:customStyle="1" w:styleId="v">
    <w:name w:val="v"/>
    <w:basedOn w:val="a"/>
    <w:pPr>
      <w:spacing w:before="100" w:beforeAutospacing="1" w:after="100" w:afterAutospacing="1"/>
    </w:pPr>
  </w:style>
  <w:style w:type="paragraph" w:customStyle="1" w:styleId="ctr">
    <w:name w:val="ctr"/>
    <w:basedOn w:val="a"/>
    <w:pPr>
      <w:spacing w:before="100" w:beforeAutospacing="1" w:after="100" w:afterAutospacing="1"/>
    </w:pPr>
  </w:style>
  <w:style w:type="paragraph" w:customStyle="1" w:styleId="key">
    <w:name w:val="key"/>
    <w:basedOn w:val="a"/>
    <w:pPr>
      <w:spacing w:before="100" w:beforeAutospacing="1" w:after="100" w:afterAutospacing="1"/>
    </w:pPr>
  </w:style>
  <w:style w:type="paragraph" w:customStyle="1" w:styleId="lw">
    <w:name w:val="lw"/>
    <w:basedOn w:val="a"/>
    <w:pPr>
      <w:spacing w:before="100" w:beforeAutospacing="1" w:after="100" w:afterAutospacing="1"/>
    </w:pPr>
  </w:style>
  <w:style w:type="paragraph" w:customStyle="1" w:styleId="na">
    <w:name w:val="na"/>
    <w:basedOn w:val="a"/>
    <w:pPr>
      <w:spacing w:before="100" w:beforeAutospacing="1" w:after="100" w:afterAutospacing="1"/>
    </w:pPr>
  </w:style>
  <w:style w:type="paragraph" w:customStyle="1" w:styleId="cite">
    <w:name w:val="cite"/>
    <w:basedOn w:val="a"/>
    <w:pPr>
      <w:spacing w:before="100" w:beforeAutospacing="1" w:after="100" w:afterAutospacing="1"/>
    </w:pPr>
  </w:style>
  <w:style w:type="paragraph" w:customStyle="1" w:styleId="body">
    <w:name w:val="body"/>
    <w:basedOn w:val="a"/>
    <w:pPr>
      <w:spacing w:before="100" w:beforeAutospacing="1" w:after="100" w:afterAutospacing="1"/>
    </w:pPr>
  </w:style>
  <w:style w:type="paragraph" w:customStyle="1" w:styleId="u">
    <w:name w:val="u"/>
    <w:basedOn w:val="a"/>
    <w:pPr>
      <w:spacing w:before="100" w:beforeAutospacing="1" w:after="100" w:afterAutospacing="1"/>
    </w:pPr>
  </w:style>
  <w:style w:type="paragraph" w:customStyle="1" w:styleId="brand">
    <w:name w:val="brand"/>
    <w:basedOn w:val="a"/>
    <w:pPr>
      <w:spacing w:before="100" w:beforeAutospacing="1" w:after="100" w:afterAutospacing="1"/>
    </w:pPr>
  </w:style>
  <w:style w:type="paragraph" w:customStyle="1" w:styleId="url">
    <w:name w:val="url"/>
    <w:basedOn w:val="a"/>
    <w:pPr>
      <w:spacing w:before="100" w:beforeAutospacing="1" w:after="100" w:afterAutospacing="1"/>
    </w:pPr>
  </w:style>
  <w:style w:type="paragraph" w:customStyle="1" w:styleId="ho">
    <w:name w:val="ho"/>
    <w:basedOn w:val="a"/>
    <w:pPr>
      <w:spacing w:before="100" w:beforeAutospacing="1" w:after="100" w:afterAutospacing="1"/>
    </w:pPr>
  </w:style>
  <w:style w:type="paragraph" w:customStyle="1" w:styleId="mok">
    <w:name w:val="mok"/>
    <w:basedOn w:val="a"/>
    <w:pPr>
      <w:spacing w:before="100" w:beforeAutospacing="1" w:after="100" w:afterAutospacing="1"/>
    </w:pPr>
  </w:style>
  <w:style w:type="paragraph" w:customStyle="1" w:styleId="amend">
    <w:name w:val="amend"/>
    <w:basedOn w:val="a"/>
    <w:pPr>
      <w:spacing w:before="100" w:beforeAutospacing="1" w:after="100" w:afterAutospacing="1"/>
    </w:pPr>
  </w:style>
  <w:style w:type="paragraph" w:customStyle="1" w:styleId="bigo-t">
    <w:name w:val="bigo-t"/>
    <w:basedOn w:val="a"/>
    <w:pPr>
      <w:spacing w:before="100" w:beforeAutospacing="1" w:after="100" w:afterAutospacing="1"/>
    </w:pPr>
  </w:style>
  <w:style w:type="paragraph" w:customStyle="1" w:styleId="eq">
    <w:name w:val="eq"/>
    <w:basedOn w:val="a"/>
    <w:pPr>
      <w:spacing w:before="100" w:beforeAutospacing="1" w:after="100" w:afterAutospacing="1"/>
    </w:pPr>
  </w:style>
  <w:style w:type="paragraph" w:customStyle="1" w:styleId="law1">
    <w:name w:val="law1"/>
    <w:basedOn w:val="a"/>
    <w:pPr>
      <w:spacing w:after="180"/>
    </w:pPr>
    <w:rPr>
      <w:sz w:val="19"/>
      <w:szCs w:val="19"/>
    </w:rPr>
  </w:style>
  <w:style w:type="paragraph" w:customStyle="1" w:styleId="rule1">
    <w:name w:val="rule1"/>
    <w:basedOn w:val="a"/>
  </w:style>
  <w:style w:type="paragraph" w:customStyle="1" w:styleId="sm1">
    <w:name w:val="sm1"/>
    <w:basedOn w:val="a"/>
    <w:pPr>
      <w:spacing w:before="100" w:beforeAutospacing="1" w:after="100" w:afterAutospacing="1"/>
      <w:ind w:left="90"/>
    </w:pPr>
    <w:rPr>
      <w:sz w:val="17"/>
      <w:szCs w:val="17"/>
    </w:rPr>
  </w:style>
  <w:style w:type="paragraph" w:customStyle="1" w:styleId="sep1">
    <w:name w:val="sep1"/>
    <w:basedOn w:val="a"/>
    <w:pPr>
      <w:pBdr>
        <w:left w:val="single" w:sz="6" w:space="0" w:color="E0E0E0"/>
      </w:pBdr>
      <w:spacing w:before="100" w:beforeAutospacing="1" w:after="100" w:afterAutospacing="1"/>
    </w:pPr>
  </w:style>
  <w:style w:type="paragraph" w:customStyle="1" w:styleId="grp1">
    <w:name w:val="grp1"/>
    <w:basedOn w:val="a"/>
    <w:pPr>
      <w:shd w:val="clear" w:color="auto" w:fill="F5F5F5"/>
      <w:spacing w:before="100" w:beforeAutospacing="1" w:after="100" w:afterAutospacing="1"/>
      <w:jc w:val="center"/>
      <w:textAlignment w:val="center"/>
    </w:pPr>
    <w:rPr>
      <w:b/>
      <w:bCs/>
    </w:rPr>
  </w:style>
  <w:style w:type="paragraph" w:customStyle="1" w:styleId="v1">
    <w:name w:val="v1"/>
    <w:basedOn w:val="a"/>
    <w:pPr>
      <w:spacing w:before="100" w:beforeAutospacing="1" w:after="100" w:afterAutospacing="1"/>
      <w:textAlignment w:val="center"/>
    </w:pPr>
  </w:style>
  <w:style w:type="paragraph" w:customStyle="1" w:styleId="ctr1">
    <w:name w:val="ctr1"/>
    <w:basedOn w:val="a"/>
    <w:pPr>
      <w:spacing w:before="100" w:beforeAutospacing="1" w:after="100" w:afterAutospacing="1"/>
      <w:jc w:val="center"/>
    </w:pPr>
  </w:style>
  <w:style w:type="paragraph" w:customStyle="1" w:styleId="key1">
    <w:name w:val="key1"/>
    <w:basedOn w:val="a"/>
    <w:pPr>
      <w:spacing w:before="100" w:beforeAutospacing="1" w:after="100" w:afterAutospacing="1"/>
    </w:pPr>
    <w:rPr>
      <w:b/>
      <w:bCs/>
    </w:rPr>
  </w:style>
  <w:style w:type="paragraph" w:customStyle="1" w:styleId="lw1">
    <w:name w:val="lw1"/>
    <w:basedOn w:val="a"/>
    <w:pPr>
      <w:spacing w:before="100" w:beforeAutospacing="1" w:after="100" w:afterAutospacing="1"/>
      <w:ind w:left="60"/>
    </w:pPr>
    <w:rPr>
      <w:sz w:val="17"/>
      <w:szCs w:val="17"/>
    </w:rPr>
  </w:style>
  <w:style w:type="paragraph" w:customStyle="1" w:styleId="na1">
    <w:name w:val="na1"/>
    <w:basedOn w:val="a"/>
    <w:pPr>
      <w:spacing w:before="100" w:beforeAutospacing="1" w:after="100" w:afterAutospacing="1"/>
    </w:pPr>
    <w:rPr>
      <w:color w:val="8A8A8A"/>
    </w:rPr>
  </w:style>
  <w:style w:type="paragraph" w:customStyle="1" w:styleId="cite1">
    <w:name w:val="cite1"/>
    <w:basedOn w:val="a"/>
    <w:pPr>
      <w:spacing w:after="90"/>
    </w:pPr>
    <w:rPr>
      <w:b/>
      <w:bCs/>
      <w:sz w:val="17"/>
      <w:szCs w:val="17"/>
    </w:rPr>
  </w:style>
  <w:style w:type="paragraph" w:customStyle="1" w:styleId="body1">
    <w:name w:val="body1"/>
    <w:basedOn w:val="a"/>
    <w:pPr>
      <w:spacing w:before="100" w:beforeAutospacing="1" w:after="100" w:afterAutospacing="1"/>
    </w:pPr>
    <w:rPr>
      <w:color w:val="000000"/>
      <w:sz w:val="19"/>
      <w:szCs w:val="19"/>
    </w:rPr>
  </w:style>
  <w:style w:type="paragraph" w:customStyle="1" w:styleId="ho1">
    <w:name w:val="ho1"/>
    <w:basedOn w:val="a"/>
    <w:pPr>
      <w:spacing w:after="75"/>
    </w:pPr>
  </w:style>
  <w:style w:type="paragraph" w:customStyle="1" w:styleId="mok1">
    <w:name w:val="mok1"/>
    <w:basedOn w:val="a"/>
    <w:pPr>
      <w:spacing w:after="75"/>
    </w:pPr>
  </w:style>
  <w:style w:type="paragraph" w:customStyle="1" w:styleId="amend1">
    <w:name w:val="amend1"/>
    <w:basedOn w:val="a"/>
    <w:pPr>
      <w:spacing w:after="75"/>
    </w:pPr>
    <w:rPr>
      <w:sz w:val="16"/>
      <w:szCs w:val="16"/>
    </w:rPr>
  </w:style>
  <w:style w:type="paragraph" w:customStyle="1" w:styleId="bigo-t1">
    <w:name w:val="bigo-t1"/>
    <w:basedOn w:val="a"/>
    <w:pPr>
      <w:spacing w:before="120" w:after="45"/>
    </w:pPr>
    <w:rPr>
      <w:rFonts w:ascii="맑은 고딕" w:eastAsia="맑은 고딕" w:hAnsi="맑은 고딕"/>
      <w:b/>
      <w:bCs/>
      <w:sz w:val="17"/>
      <w:szCs w:val="17"/>
    </w:rPr>
  </w:style>
  <w:style w:type="paragraph" w:customStyle="1" w:styleId="eq1">
    <w:name w:val="eq1"/>
    <w:basedOn w:val="a"/>
    <w:pPr>
      <w:spacing w:before="75" w:after="75"/>
    </w:pPr>
  </w:style>
  <w:style w:type="paragraph" w:customStyle="1" w:styleId="u1">
    <w:name w:val="u1"/>
    <w:basedOn w:val="a"/>
    <w:pPr>
      <w:spacing w:before="100" w:beforeAutospacing="1" w:after="100" w:afterAutospacing="1"/>
      <w:ind w:left="60"/>
    </w:pPr>
    <w:rPr>
      <w:b/>
      <w:bCs/>
      <w:color w:val="B0B0B0"/>
    </w:rPr>
  </w:style>
  <w:style w:type="paragraph" w:customStyle="1" w:styleId="brand1">
    <w:name w:val="brand1"/>
    <w:basedOn w:val="a"/>
    <w:pPr>
      <w:spacing w:before="100" w:beforeAutospacing="1" w:after="100" w:afterAutospacing="1"/>
    </w:pPr>
    <w:rPr>
      <w:b/>
      <w:bCs/>
      <w:color w:val="555555"/>
    </w:rPr>
  </w:style>
  <w:style w:type="paragraph" w:customStyle="1" w:styleId="url1">
    <w:name w:val="url1"/>
    <w:basedOn w:val="a"/>
    <w:pPr>
      <w:spacing w:before="100" w:beforeAutospacing="1" w:after="100" w:afterAutospacing="1"/>
    </w:pPr>
    <w:rPr>
      <w:color w:val="777777"/>
    </w:rPr>
  </w:style>
  <w:style w:type="character" w:customStyle="1" w:styleId="amend2">
    <w:name w:val="amend2"/>
    <w:basedOn w:val="a0"/>
    <w:rPr>
      <w:sz w:val="16"/>
      <w:szCs w:val="16"/>
    </w:rPr>
  </w:style>
  <w:style w:type="paragraph" w:styleId="a4">
    <w:name w:val="header"/>
    <w:basedOn w:val="a"/>
    <w:link w:val="Char"/>
    <w:uiPriority w:val="99"/>
    <w:unhideWhenUsed/>
    <w:rsid w:val="00F52617"/>
    <w:pPr>
      <w:tabs>
        <w:tab w:val="center" w:pos="4513"/>
        <w:tab w:val="right" w:pos="9026"/>
      </w:tabs>
      <w:snapToGrid w:val="0"/>
    </w:pPr>
  </w:style>
  <w:style w:type="character" w:customStyle="1" w:styleId="Char">
    <w:name w:val="머리글 Char"/>
    <w:basedOn w:val="a0"/>
    <w:link w:val="a4"/>
    <w:uiPriority w:val="99"/>
    <w:rsid w:val="00F52617"/>
    <w:rPr>
      <w:rFonts w:ascii="굴림" w:eastAsia="굴림" w:hAnsi="굴림" w:cs="굴림"/>
      <w:sz w:val="24"/>
      <w:szCs w:val="24"/>
    </w:rPr>
  </w:style>
  <w:style w:type="paragraph" w:styleId="a5">
    <w:name w:val="footer"/>
    <w:basedOn w:val="a"/>
    <w:link w:val="Char0"/>
    <w:uiPriority w:val="99"/>
    <w:unhideWhenUsed/>
    <w:rsid w:val="00F52617"/>
    <w:pPr>
      <w:tabs>
        <w:tab w:val="center" w:pos="4513"/>
        <w:tab w:val="right" w:pos="9026"/>
      </w:tabs>
      <w:snapToGrid w:val="0"/>
    </w:pPr>
  </w:style>
  <w:style w:type="character" w:customStyle="1" w:styleId="Char0">
    <w:name w:val="바닥글 Char"/>
    <w:basedOn w:val="a0"/>
    <w:link w:val="a5"/>
    <w:uiPriority w:val="99"/>
    <w:rsid w:val="00F52617"/>
    <w:rPr>
      <w:rFonts w:ascii="굴림" w:eastAsia="굴림" w:hAnsi="굴림" w:cs="굴림"/>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857381">
      <w:marLeft w:val="0"/>
      <w:marRight w:val="0"/>
      <w:marTop w:val="0"/>
      <w:marBottom w:val="0"/>
      <w:divBdr>
        <w:top w:val="none" w:sz="0" w:space="0" w:color="auto"/>
        <w:left w:val="none" w:sz="0" w:space="0" w:color="auto"/>
        <w:bottom w:val="none" w:sz="0" w:space="0" w:color="auto"/>
        <w:right w:val="none" w:sz="0" w:space="0" w:color="auto"/>
      </w:divBdr>
      <w:divsChild>
        <w:div w:id="62219238">
          <w:marLeft w:val="0"/>
          <w:marRight w:val="0"/>
          <w:marTop w:val="0"/>
          <w:marBottom w:val="270"/>
          <w:divBdr>
            <w:top w:val="none" w:sz="0" w:space="0" w:color="auto"/>
            <w:left w:val="none" w:sz="0" w:space="0" w:color="auto"/>
            <w:bottom w:val="none" w:sz="0" w:space="0" w:color="auto"/>
            <w:right w:val="none" w:sz="0" w:space="0" w:color="auto"/>
          </w:divBdr>
        </w:div>
        <w:div w:id="327709656">
          <w:marLeft w:val="0"/>
          <w:marRight w:val="0"/>
          <w:marTop w:val="120"/>
          <w:marBottom w:val="60"/>
          <w:divBdr>
            <w:top w:val="none" w:sz="0" w:space="0" w:color="auto"/>
            <w:left w:val="none" w:sz="0" w:space="0" w:color="auto"/>
            <w:bottom w:val="none" w:sz="0" w:space="0" w:color="auto"/>
            <w:right w:val="none" w:sz="0" w:space="0" w:color="auto"/>
          </w:divBdr>
          <w:divsChild>
            <w:div w:id="663360407">
              <w:marLeft w:val="0"/>
              <w:marRight w:val="0"/>
              <w:marTop w:val="0"/>
              <w:marBottom w:val="0"/>
              <w:divBdr>
                <w:top w:val="none" w:sz="0" w:space="0" w:color="auto"/>
                <w:left w:val="none" w:sz="0" w:space="0" w:color="auto"/>
                <w:bottom w:val="none" w:sz="0" w:space="0" w:color="auto"/>
                <w:right w:val="none" w:sz="0" w:space="0" w:color="auto"/>
              </w:divBdr>
            </w:div>
          </w:divsChild>
        </w:div>
        <w:div w:id="1240868215">
          <w:marLeft w:val="0"/>
          <w:marRight w:val="0"/>
          <w:marTop w:val="120"/>
          <w:marBottom w:val="60"/>
          <w:divBdr>
            <w:top w:val="none" w:sz="0" w:space="0" w:color="auto"/>
            <w:left w:val="none" w:sz="0" w:space="0" w:color="auto"/>
            <w:bottom w:val="none" w:sz="0" w:space="0" w:color="auto"/>
            <w:right w:val="none" w:sz="0" w:space="0" w:color="auto"/>
          </w:divBdr>
          <w:divsChild>
            <w:div w:id="1496334653">
              <w:marLeft w:val="0"/>
              <w:marRight w:val="0"/>
              <w:marTop w:val="0"/>
              <w:marBottom w:val="0"/>
              <w:divBdr>
                <w:top w:val="none" w:sz="0" w:space="0" w:color="auto"/>
                <w:left w:val="none" w:sz="0" w:space="0" w:color="auto"/>
                <w:bottom w:val="none" w:sz="0" w:space="0" w:color="auto"/>
                <w:right w:val="none" w:sz="0" w:space="0" w:color="auto"/>
              </w:divBdr>
            </w:div>
          </w:divsChild>
        </w:div>
        <w:div w:id="712464575">
          <w:marLeft w:val="0"/>
          <w:marRight w:val="0"/>
          <w:marTop w:val="120"/>
          <w:marBottom w:val="60"/>
          <w:divBdr>
            <w:top w:val="none" w:sz="0" w:space="0" w:color="auto"/>
            <w:left w:val="none" w:sz="0" w:space="0" w:color="auto"/>
            <w:bottom w:val="none" w:sz="0" w:space="0" w:color="auto"/>
            <w:right w:val="none" w:sz="0" w:space="0" w:color="auto"/>
          </w:divBdr>
          <w:divsChild>
            <w:div w:id="1494491713">
              <w:marLeft w:val="0"/>
              <w:marRight w:val="0"/>
              <w:marTop w:val="0"/>
              <w:marBottom w:val="0"/>
              <w:divBdr>
                <w:top w:val="none" w:sz="0" w:space="0" w:color="auto"/>
                <w:left w:val="none" w:sz="0" w:space="0" w:color="auto"/>
                <w:bottom w:val="none" w:sz="0" w:space="0" w:color="auto"/>
                <w:right w:val="none" w:sz="0" w:space="0" w:color="auto"/>
              </w:divBdr>
            </w:div>
          </w:divsChild>
        </w:div>
        <w:div w:id="1865095160">
          <w:marLeft w:val="0"/>
          <w:marRight w:val="0"/>
          <w:marTop w:val="120"/>
          <w:marBottom w:val="60"/>
          <w:divBdr>
            <w:top w:val="none" w:sz="0" w:space="0" w:color="auto"/>
            <w:left w:val="none" w:sz="0" w:space="0" w:color="auto"/>
            <w:bottom w:val="none" w:sz="0" w:space="0" w:color="auto"/>
            <w:right w:val="none" w:sz="0" w:space="0" w:color="auto"/>
          </w:divBdr>
          <w:divsChild>
            <w:div w:id="1802578676">
              <w:marLeft w:val="0"/>
              <w:marRight w:val="0"/>
              <w:marTop w:val="0"/>
              <w:marBottom w:val="0"/>
              <w:divBdr>
                <w:top w:val="none" w:sz="0" w:space="0" w:color="auto"/>
                <w:left w:val="none" w:sz="0" w:space="0" w:color="auto"/>
                <w:bottom w:val="none" w:sz="0" w:space="0" w:color="auto"/>
                <w:right w:val="none" w:sz="0" w:space="0" w:color="auto"/>
              </w:divBdr>
            </w:div>
          </w:divsChild>
        </w:div>
        <w:div w:id="45494963">
          <w:marLeft w:val="0"/>
          <w:marRight w:val="0"/>
          <w:marTop w:val="120"/>
          <w:marBottom w:val="60"/>
          <w:divBdr>
            <w:top w:val="none" w:sz="0" w:space="0" w:color="auto"/>
            <w:left w:val="none" w:sz="0" w:space="0" w:color="auto"/>
            <w:bottom w:val="none" w:sz="0" w:space="0" w:color="auto"/>
            <w:right w:val="none" w:sz="0" w:space="0" w:color="auto"/>
          </w:divBdr>
          <w:divsChild>
            <w:div w:id="2001809288">
              <w:marLeft w:val="0"/>
              <w:marRight w:val="0"/>
              <w:marTop w:val="0"/>
              <w:marBottom w:val="0"/>
              <w:divBdr>
                <w:top w:val="none" w:sz="0" w:space="0" w:color="auto"/>
                <w:left w:val="none" w:sz="0" w:space="0" w:color="auto"/>
                <w:bottom w:val="none" w:sz="0" w:space="0" w:color="auto"/>
                <w:right w:val="none" w:sz="0" w:space="0" w:color="auto"/>
              </w:divBdr>
            </w:div>
          </w:divsChild>
        </w:div>
        <w:div w:id="1593124277">
          <w:marLeft w:val="0"/>
          <w:marRight w:val="0"/>
          <w:marTop w:val="120"/>
          <w:marBottom w:val="60"/>
          <w:divBdr>
            <w:top w:val="none" w:sz="0" w:space="0" w:color="auto"/>
            <w:left w:val="none" w:sz="0" w:space="0" w:color="auto"/>
            <w:bottom w:val="none" w:sz="0" w:space="0" w:color="auto"/>
            <w:right w:val="none" w:sz="0" w:space="0" w:color="auto"/>
          </w:divBdr>
          <w:divsChild>
            <w:div w:id="228228507">
              <w:marLeft w:val="0"/>
              <w:marRight w:val="0"/>
              <w:marTop w:val="0"/>
              <w:marBottom w:val="0"/>
              <w:divBdr>
                <w:top w:val="none" w:sz="0" w:space="0" w:color="auto"/>
                <w:left w:val="none" w:sz="0" w:space="0" w:color="auto"/>
                <w:bottom w:val="none" w:sz="0" w:space="0" w:color="auto"/>
                <w:right w:val="none" w:sz="0" w:space="0" w:color="auto"/>
              </w:divBdr>
            </w:div>
          </w:divsChild>
        </w:div>
        <w:div w:id="94373273">
          <w:marLeft w:val="0"/>
          <w:marRight w:val="0"/>
          <w:marTop w:val="120"/>
          <w:marBottom w:val="60"/>
          <w:divBdr>
            <w:top w:val="none" w:sz="0" w:space="0" w:color="auto"/>
            <w:left w:val="none" w:sz="0" w:space="0" w:color="auto"/>
            <w:bottom w:val="none" w:sz="0" w:space="0" w:color="auto"/>
            <w:right w:val="none" w:sz="0" w:space="0" w:color="auto"/>
          </w:divBdr>
          <w:divsChild>
            <w:div w:id="1841700196">
              <w:marLeft w:val="0"/>
              <w:marRight w:val="0"/>
              <w:marTop w:val="0"/>
              <w:marBottom w:val="0"/>
              <w:divBdr>
                <w:top w:val="none" w:sz="0" w:space="0" w:color="auto"/>
                <w:left w:val="none" w:sz="0" w:space="0" w:color="auto"/>
                <w:bottom w:val="none" w:sz="0" w:space="0" w:color="auto"/>
                <w:right w:val="none" w:sz="0" w:space="0" w:color="auto"/>
              </w:divBdr>
            </w:div>
          </w:divsChild>
        </w:div>
        <w:div w:id="475339630">
          <w:marLeft w:val="0"/>
          <w:marRight w:val="0"/>
          <w:marTop w:val="120"/>
          <w:marBottom w:val="60"/>
          <w:divBdr>
            <w:top w:val="none" w:sz="0" w:space="0" w:color="auto"/>
            <w:left w:val="none" w:sz="0" w:space="0" w:color="auto"/>
            <w:bottom w:val="none" w:sz="0" w:space="0" w:color="auto"/>
            <w:right w:val="none" w:sz="0" w:space="0" w:color="auto"/>
          </w:divBdr>
          <w:divsChild>
            <w:div w:id="1256476091">
              <w:marLeft w:val="0"/>
              <w:marRight w:val="0"/>
              <w:marTop w:val="0"/>
              <w:marBottom w:val="0"/>
              <w:divBdr>
                <w:top w:val="none" w:sz="0" w:space="0" w:color="auto"/>
                <w:left w:val="none" w:sz="0" w:space="0" w:color="auto"/>
                <w:bottom w:val="none" w:sz="0" w:space="0" w:color="auto"/>
                <w:right w:val="none" w:sz="0" w:space="0" w:color="auto"/>
              </w:divBdr>
            </w:div>
          </w:divsChild>
        </w:div>
        <w:div w:id="1807576728">
          <w:marLeft w:val="0"/>
          <w:marRight w:val="0"/>
          <w:marTop w:val="120"/>
          <w:marBottom w:val="60"/>
          <w:divBdr>
            <w:top w:val="none" w:sz="0" w:space="0" w:color="auto"/>
            <w:left w:val="none" w:sz="0" w:space="0" w:color="auto"/>
            <w:bottom w:val="none" w:sz="0" w:space="0" w:color="auto"/>
            <w:right w:val="none" w:sz="0" w:space="0" w:color="auto"/>
          </w:divBdr>
          <w:divsChild>
            <w:div w:id="1018854321">
              <w:marLeft w:val="0"/>
              <w:marRight w:val="0"/>
              <w:marTop w:val="0"/>
              <w:marBottom w:val="0"/>
              <w:divBdr>
                <w:top w:val="none" w:sz="0" w:space="0" w:color="auto"/>
                <w:left w:val="none" w:sz="0" w:space="0" w:color="auto"/>
                <w:bottom w:val="none" w:sz="0" w:space="0" w:color="auto"/>
                <w:right w:val="none" w:sz="0" w:space="0" w:color="auto"/>
              </w:divBdr>
            </w:div>
          </w:divsChild>
        </w:div>
        <w:div w:id="847018404">
          <w:marLeft w:val="0"/>
          <w:marRight w:val="0"/>
          <w:marTop w:val="120"/>
          <w:marBottom w:val="60"/>
          <w:divBdr>
            <w:top w:val="none" w:sz="0" w:space="0" w:color="auto"/>
            <w:left w:val="none" w:sz="0" w:space="0" w:color="auto"/>
            <w:bottom w:val="none" w:sz="0" w:space="0" w:color="auto"/>
            <w:right w:val="none" w:sz="0" w:space="0" w:color="auto"/>
          </w:divBdr>
          <w:divsChild>
            <w:div w:id="1568110208">
              <w:marLeft w:val="0"/>
              <w:marRight w:val="0"/>
              <w:marTop w:val="0"/>
              <w:marBottom w:val="0"/>
              <w:divBdr>
                <w:top w:val="none" w:sz="0" w:space="0" w:color="auto"/>
                <w:left w:val="none" w:sz="0" w:space="0" w:color="auto"/>
                <w:bottom w:val="none" w:sz="0" w:space="0" w:color="auto"/>
                <w:right w:val="none" w:sz="0" w:space="0" w:color="auto"/>
              </w:divBdr>
            </w:div>
          </w:divsChild>
        </w:div>
        <w:div w:id="585461056">
          <w:marLeft w:val="0"/>
          <w:marRight w:val="0"/>
          <w:marTop w:val="120"/>
          <w:marBottom w:val="60"/>
          <w:divBdr>
            <w:top w:val="none" w:sz="0" w:space="0" w:color="auto"/>
            <w:left w:val="none" w:sz="0" w:space="0" w:color="auto"/>
            <w:bottom w:val="none" w:sz="0" w:space="0" w:color="auto"/>
            <w:right w:val="none" w:sz="0" w:space="0" w:color="auto"/>
          </w:divBdr>
          <w:divsChild>
            <w:div w:id="1608852707">
              <w:marLeft w:val="0"/>
              <w:marRight w:val="0"/>
              <w:marTop w:val="0"/>
              <w:marBottom w:val="0"/>
              <w:divBdr>
                <w:top w:val="none" w:sz="0" w:space="0" w:color="auto"/>
                <w:left w:val="none" w:sz="0" w:space="0" w:color="auto"/>
                <w:bottom w:val="none" w:sz="0" w:space="0" w:color="auto"/>
                <w:right w:val="none" w:sz="0" w:space="0" w:color="auto"/>
              </w:divBdr>
            </w:div>
          </w:divsChild>
        </w:div>
        <w:div w:id="1949389103">
          <w:marLeft w:val="0"/>
          <w:marRight w:val="0"/>
          <w:marTop w:val="240"/>
          <w:marBottom w:val="0"/>
          <w:divBdr>
            <w:top w:val="none" w:sz="0" w:space="0" w:color="auto"/>
            <w:left w:val="none" w:sz="0" w:space="0" w:color="auto"/>
            <w:bottom w:val="none" w:sz="0" w:space="0" w:color="auto"/>
            <w:right w:val="none" w:sz="0" w:space="0" w:color="auto"/>
          </w:divBdr>
        </w:div>
      </w:divsChild>
    </w:div>
  </w:divs>
  <w:encoding w:val="unicode"/>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4</Pages>
  <Words>1344</Words>
  <Characters>7661</Characters>
  <Application>Microsoft Office Word</Application>
  <DocSecurity>4</DocSecurity>
  <Lines>63</Lines>
  <Paragraphs>17</Paragraphs>
  <ScaleCrop>false</ScaleCrop>
  <Company/>
  <LinksUpToDate>false</LinksUpToDate>
  <CharactersWithSpaces>8988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환경기술인 보유 자격기준 및 법적 근거</dc:title>
  <dc:subject/>
  <dc:creator>GWANGSIK JO</dc:creator>
  <cp:keywords/>
  <dc:description/>
  <cp:lastModifiedBy>GWANGSIK JO</cp:lastModifiedBy>
  <cp:revision>2</cp:revision>
  <dcterms:created xsi:type="dcterms:W3CDTF">2026-07-31T02:26:00Z</dcterms:created>
  <dcterms:modified xsi:type="dcterms:W3CDTF">2026-07-31T02:26:00Z</dcterms:modified>
</cp:coreProperties>
</file>