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투기폐기물제거조치명령취소</w:t>
      </w:r>
    </w:p>
    <w:p>
      <w:pPr>
        <w:pStyle w:val="law1"/>
        <w:spacing w:after="160"/>
      </w:pPr>
      <w:r>
        <w:rPr>
          <w:rFonts w:ascii="맑은 고딕" w:hAnsi="맑은 고딕" w:eastAsia="맑은 고딕" w:cs="맑은 고딕"/>
          <w:color w:val="000000"/>
        </w:rPr>
        <w:t>대법원 2019두39048 (2020.06.25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2019두39048</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2020.06.25</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구 폐기물관리법 제8조 제3항에서 말하는 ‘필요한 조치’에 토지소유자 등이 같은 법 제7조 제2항에 따른 토지의 청결유지의무를 다하지 못하여 환경상의 위해가 발생할 경우 토지상에 적치 또는 방치된 폐기물의 제거를 명하는 조치가 포함되는지 여부(적극)</w:t>
      </w:r>
      <w:r>
        <w:rPr>
          <w:rFonts w:ascii="맑은 고딕" w:hAnsi="맑은 고딕" w:eastAsia="맑은 고딕" w:cs="맑은 고딕"/>
          <w:color w:val="000000"/>
        </w:rPr>
        <w:br/>
      </w:r>
      <w:r>
        <w:rPr>
          <w:rFonts w:ascii="맑은 고딕" w:hAnsi="맑은 고딕" w:eastAsia="맑은 고딕" w:cs="맑은 고딕"/>
          <w:color w:val="000000"/>
        </w:rPr>
        <w:t>[2] 시장 등이 구 폐기물관리법 제48조에 따른 폐기물 처리에 대한 조치명령과는 별도로 같은 법 제8조 제3항 등에 따라 그에 상응하는 ‘필요한 조치’로서 폐기물 제거 조치명령을 할 수 있는지 여부(적극)</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구 폐기물관리법(2019. 11. 26. 법률 제16614호로 개정되기 전의 것) 제7조 제2항, 제8조 제3항 / [2] 구 폐기물관리법(2019. 11. 26. 법률 제16614호로 개정되기 전의 것) 제7조 제2항, 제8조 제1항, 제3항, 제48조 제1호(현행 제48조 제1항 제1호 참조), 제2호(현행 제48조 제1항 제2호 참조), 제3호(현행 제48조 제1항 제9호 참조), 제65조 제23호, 제68조 제3항 제2호</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#조치명령 #대법원판례 #2019두39048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