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60"/>
      </w:pPr>
      <w:r>
        <w:rPr>
          <w:rFonts w:ascii="맑은 고딕" w:hAnsi="맑은 고딕" w:eastAsia="맑은 고딕" w:cs="맑은 고딕"/>
          <w:b/>
          <w:color w:val="000000"/>
          <w:sz w:val="30"/>
        </w:rPr>
        <w:t>폐기물처리종합재활용업사업계획서부적합통보처분취소</w:t>
      </w:r>
    </w:p>
    <w:p>
      <w:pPr>
        <w:pStyle w:val="law1"/>
        <w:spacing w:after="160"/>
      </w:pPr>
      <w:r>
        <w:rPr>
          <w:rFonts w:ascii="맑은 고딕" w:hAnsi="맑은 고딕" w:eastAsia="맑은 고딕" w:cs="맑은 고딕"/>
          <w:color w:val="000000"/>
        </w:rPr>
        <w:t>대법원 2019두45579 (2019.12.24 선고) · 일반행정</w:t>
      </w:r>
    </w:p>
    <w:p/>
    <w:p/>
    <w:p>
      <w:pPr>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r/>
            <w:r>
              <w:rPr>
                <w:rFonts w:ascii="맑은 고딕" w:hAnsi="맑은 고딕" w:eastAsia="맑은 고딕" w:cs="맑은 고딕"/>
                <w:b/>
                <w:color w:val="000000"/>
                <w:sz w:val="19"/>
              </w:rPr>
              <w:t>사건번호</w:t>
            </w:r>
          </w:p>
        </w:tc>
        <w:tc>
          <w:tcPr>
            <w:tcW w:type="pct" w:w="3800"/>
          </w:tcPr>
          <w:p>
            <w:r/>
            <w:r>
              <w:rPr>
                <w:rFonts w:ascii="맑은 고딕" w:hAnsi="맑은 고딕" w:eastAsia="맑은 고딕" w:cs="맑은 고딕"/>
                <w:b w:val="0"/>
                <w:color w:val="000000"/>
                <w:sz w:val="19"/>
              </w:rPr>
              <w:t>2019두45579</w:t>
            </w:r>
          </w:p>
        </w:tc>
      </w:tr>
      <w:tr>
        <w:tc>
          <w:tcPr>
            <w:tcW w:type="pct" w:w="1200"/>
            <w:shd w:val="clear" w:color="auto" w:fill="F2F2F2"/>
          </w:tcPr>
          <w:p>
            <w:r/>
            <w:r>
              <w:rPr>
                <w:rFonts w:ascii="맑은 고딕" w:hAnsi="맑은 고딕" w:eastAsia="맑은 고딕" w:cs="맑은 고딕"/>
                <w:b/>
                <w:color w:val="000000"/>
                <w:sz w:val="19"/>
              </w:rPr>
              <w:t>선고일자</w:t>
            </w:r>
          </w:p>
        </w:tc>
        <w:tc>
          <w:tcPr>
            <w:tcW w:type="pct" w:w="3800"/>
          </w:tcPr>
          <w:p>
            <w:r/>
            <w:r>
              <w:rPr>
                <w:rFonts w:ascii="맑은 고딕" w:hAnsi="맑은 고딕" w:eastAsia="맑은 고딕" w:cs="맑은 고딕"/>
                <w:b w:val="0"/>
                <w:color w:val="000000"/>
                <w:sz w:val="19"/>
              </w:rPr>
              <w:t>2019.12.24</w:t>
            </w:r>
          </w:p>
        </w:tc>
      </w:tr>
      <w:tr>
        <w:tc>
          <w:tcPr>
            <w:tcW w:type="pct" w:w="1200"/>
            <w:shd w:val="clear" w:color="auto" w:fill="F2F2F2"/>
          </w:tcPr>
          <w:p>
            <w:r/>
            <w:r>
              <w:rPr>
                <w:rFonts w:ascii="맑은 고딕" w:hAnsi="맑은 고딕" w:eastAsia="맑은 고딕" w:cs="맑은 고딕"/>
                <w:b/>
                <w:color w:val="000000"/>
                <w:sz w:val="19"/>
              </w:rPr>
              <w:t>법원</w:t>
            </w:r>
          </w:p>
        </w:tc>
        <w:tc>
          <w:tcPr>
            <w:tcW w:type="pct" w:w="3800"/>
          </w:tcPr>
          <w:p>
            <w:r/>
            <w:r>
              <w:rPr>
                <w:rFonts w:ascii="맑은 고딕" w:hAnsi="맑은 고딕" w:eastAsia="맑은 고딕" w:cs="맑은 고딕"/>
                <w:b w:val="0"/>
                <w:color w:val="000000"/>
                <w:sz w:val="19"/>
              </w:rPr>
              <w:t>대법원</w:t>
            </w:r>
          </w:p>
        </w:tc>
      </w:tr>
      <w:tr>
        <w:tc>
          <w:tcPr>
            <w:tcW w:type="pct" w:w="1200"/>
            <w:shd w:val="clear" w:color="auto" w:fill="F2F2F2"/>
          </w:tcPr>
          <w:p>
            <w:r/>
            <w:r>
              <w:rPr>
                <w:rFonts w:ascii="맑은 고딕" w:hAnsi="맑은 고딕" w:eastAsia="맑은 고딕" w:cs="맑은 고딕"/>
                <w:b/>
                <w:color w:val="000000"/>
                <w:sz w:val="19"/>
              </w:rPr>
              <w:t>사건종류</w:t>
            </w:r>
          </w:p>
        </w:tc>
        <w:tc>
          <w:tcPr>
            <w:tcW w:type="pct" w:w="3800"/>
          </w:tcPr>
          <w:p>
            <w:r/>
            <w:r>
              <w:rPr>
                <w:rFonts w:ascii="맑은 고딕" w:hAnsi="맑은 고딕" w:eastAsia="맑은 고딕" w:cs="맑은 고딕"/>
                <w:b w:val="0"/>
                <w:color w:val="000000"/>
                <w:sz w:val="19"/>
              </w:rPr>
              <w:t>일반행정</w:t>
            </w:r>
          </w:p>
        </w:tc>
      </w:tr>
    </w:tbl>
    <w:p/>
    <w:p/>
    <w:p>
      <w:pPr>
        <w:pStyle w:val="2"/>
        <w:spacing w:before="80"/>
      </w:pPr>
      <w:r>
        <w:rPr>
          <w:rFonts w:ascii="맑은 고딕" w:hAnsi="맑은 고딕" w:eastAsia="맑은 고딕" w:cs="맑은 고딕"/>
          <w:color w:val="000000"/>
        </w:rPr>
        <w:t>2. 판시사항</w:t>
      </w:r>
    </w:p>
    <w:p>
      <w:r>
        <w:rPr>
          <w:rFonts w:ascii="맑은 고딕" w:hAnsi="맑은 고딕" w:eastAsia="맑은 고딕" w:cs="맑은 고딕"/>
          <w:color w:val="000000"/>
        </w:rPr>
        <w:t>[1] 행정청이 폐기물처리사업계획서의 적합 여부를 판단하는 방법 및 폐기물처리사업계획서의 적합 여부 판단에 관하여 행정청에 광범위한 재량권이 인정되는지 여부(적극) / 법원이 폐기물처리사업계획서의 적합 여부 결정과 관련한 행정청의 재량권 일탈·남용 여부를 심사하는 방법</w:t>
      </w:r>
      <w:r>
        <w:rPr>
          <w:rFonts w:ascii="맑은 고딕" w:hAnsi="맑은 고딕" w:eastAsia="맑은 고딕" w:cs="맑은 고딕"/>
          <w:color w:val="000000"/>
        </w:rPr>
        <w:br/>
      </w:r>
      <w:r>
        <w:rPr>
          <w:rFonts w:ascii="맑은 고딕" w:hAnsi="맑은 고딕" w:eastAsia="맑은 고딕" w:cs="맑은 고딕"/>
          <w:color w:val="000000"/>
        </w:rPr>
        <w:t>[2] 행정청이 처분서에 불확정개념으로 규정된 법령상의 허가기준 등을 충족하지 못하였다는 취지만 간략히 기재하여 폐기물처리사업계획서 부적합 통보를 한 경우, 부적합 통보에 대한 취소소송절차에서 행정청은 구체적 불허가사유를 분명히 하여야 하고, 원고는 행정청이 제시한 구체적인 불허가사유에 관한 판단과 근거에 재량권 일탈·남용의 위법이 있음을 밝히기 위해 추가적인 주장 및 자료를 제출할 필요가 있는지 여부(적극)</w:t>
      </w:r>
    </w:p>
    <w:p/>
    <w:p/>
    <w:p>
      <w:pPr>
        <w:pStyle w:val="2"/>
        <w:spacing w:before="80"/>
      </w:pPr>
      <w:r>
        <w:rPr>
          <w:rFonts w:ascii="맑은 고딕" w:hAnsi="맑은 고딕" w:eastAsia="맑은 고딕" w:cs="맑은 고딕"/>
          <w:color w:val="000000"/>
        </w:rPr>
        <w:t>3. 판결요지</w:t>
      </w:r>
    </w:p>
    <w:p>
      <w:r>
        <w:rPr>
          <w:rFonts w:ascii="맑은 고딕" w:hAnsi="맑은 고딕" w:eastAsia="맑은 고딕" w:cs="맑은 고딕"/>
          <w:color w:val="000000"/>
        </w:rPr>
        <w:t>[1] 폐기물관리법 제1조, 제25조 제1항, 제2항 제4호,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존중될 필요가 있다.</w:t>
      </w:r>
      <w:r>
        <w:rPr>
          <w:rFonts w:ascii="맑은 고딕" w:hAnsi="맑은 고딕" w:eastAsia="맑은 고딕" w:cs="맑은 고딕"/>
          <w:color w:val="000000"/>
        </w:rPr>
        <w:br/>
      </w:r>
      <w:r>
        <w:rPr>
          <w:rFonts w:ascii="맑은 고딕" w:hAnsi="맑은 고딕" w:eastAsia="맑은 고딕" w:cs="맑은 고딕"/>
          <w:color w:val="000000"/>
        </w:rPr>
        <w:t>[2]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그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p>
    <w:p/>
    <w:p/>
    <w:p>
      <w:pPr>
        <w:pStyle w:val="2"/>
        <w:spacing w:before="80"/>
      </w:pPr>
      <w:r>
        <w:rPr>
          <w:rFonts w:ascii="맑은 고딕" w:hAnsi="맑은 고딕" w:eastAsia="맑은 고딕" w:cs="맑은 고딕"/>
          <w:color w:val="000000"/>
        </w:rPr>
        <w:t>4. 참조 조문</w:t>
      </w:r>
    </w:p>
    <w:p>
      <w:r>
        <w:rPr>
          <w:rFonts w:ascii="맑은 고딕" w:hAnsi="맑은 고딕" w:eastAsia="맑은 고딕" w:cs="맑은 고딕"/>
          <w:color w:val="000000"/>
        </w:rPr>
        <w:t>[1] 폐기물관리법 제1조, 제25조 제1항, 제2항 제4호, 환경정책기본법 제3조 제1호, 제12조 제1항, 제13조 / [2] 폐기물관리법 제25조 제1항, 행정소송법 제26조[증명책임]</w:t>
      </w:r>
    </w:p>
    <w:p>
      <w:pPr>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spacing w:before="160"/>
      </w:pPr>
      <w:r>
        <w:rPr>
          <w:rFonts w:ascii="맑은 고딕" w:hAnsi="맑은 고딕" w:eastAsia="맑은 고딕" w:cs="맑은 고딕"/>
          <w:color w:val="000000"/>
          <w:sz w:val="18"/>
        </w:rPr>
        <w:t>태그  #폐기물판례 #재활용 #폐기물처리사업계획서 #부적합통보 #대법원판례 #2019두45579 #인허가서대리</w:t>
      </w:r>
    </w:p>
    <w:p>
      <w:pPr>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