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수도권대기환경개선에관한특별법위반ㆍ폐기물관리법위반ㆍ대기환경보전법위반ㆍ잔류성유기오염물질관리법위반ㆍ위계공무집행방해ㆍ증거인멸교사ㆍ증거인멸ㆍ환경영향평가법위반</w:t>
      </w:r>
    </w:p>
    <w:p>
      <w:pPr>
        <w:pStyle w:val="law1"/>
        <w:spacing w:after="160"/>
      </w:pPr>
      <w:r>
        <w:rPr>
          <w:rFonts w:ascii="맑은 고딕" w:hAnsi="맑은 고딕" w:eastAsia="맑은 고딕" w:cs="맑은 고딕"/>
          <w:color w:val="000000"/>
        </w:rPr>
        <w:t>대법원 2020도13266 (2021.02.25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2020도13266</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2021.02.25</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사업장의 ‘설치’와 관련하여 허가받은 사항을 변경할 때 허가를 받도록 규정한 구 수도권 대기환경개선에 관한 특별법 제14조 제1항의 ‘허가받은 사항’의 변경에 단순히 폐기물을 과다 소각하는 행위가 포함되는지 여부(소극)</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유】상고이유(상고이유서 제출기간이 지난 후에 제출된 상고이유보충서의 기재는 상고이유를 보충하는 범위 내에서)를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검사의 상고이유에 대하여</w:t>
      </w:r>
      <w:r>
        <w:rPr>
          <w:rFonts w:ascii="맑은 고딕" w:hAnsi="맑은 고딕" w:eastAsia="맑은 고딕" w:cs="맑은 고딕"/>
          <w:color w:val="000000"/>
        </w:rPr>
        <w:br/>
      </w:r>
      <w:r>
        <w:rPr>
          <w:rFonts w:ascii="맑은 고딕" w:hAnsi="맑은 고딕" w:eastAsia="맑은 고딕" w:cs="맑은 고딕"/>
          <w:color w:val="000000"/>
        </w:rPr>
        <w:t xml:space="preserve">  가. 피고인 1, 피고인 2 주식회사, 피고인 3, 피고인 4, 피고인 5, 피고인 6, 피고인 8 주식회사, 피고인 9, 피고인 10 주식회사, 피고인 12 및 피고인 13에 대한 수도권 대기환경개선에 관한 특별법 위반 중 무죄(이유무죄 포함) 부분</w:t>
      </w:r>
      <w:r>
        <w:rPr>
          <w:rFonts w:ascii="맑은 고딕" w:hAnsi="맑은 고딕" w:eastAsia="맑은 고딕" w:cs="맑은 고딕"/>
          <w:color w:val="000000"/>
        </w:rPr>
        <w:br/>
      </w:r>
      <w:r>
        <w:rPr>
          <w:rFonts w:ascii="맑은 고딕" w:hAnsi="맑은 고딕" w:eastAsia="맑은 고딕" w:cs="맑은 고딕"/>
          <w:color w:val="000000"/>
        </w:rPr>
        <w:t xml:space="preserve">  (1) 원심은 그 판시와 같은 이유를 들어 구「수도권 대기환경개선에 관한 특별법」(2019. 4. 2. 법률 제16305호「대기관리권역의 대기환경개선에 관한 특별법」부칙 제2조로 폐지되기 전의 것, 이하 ‘구 수도권대기환경특별법’이라 한다) 제14조 제1항의 ‘허가받은 사항’을 변경하는 경우는 대기환경보전법과 마찬가지로 ‘중요한 사항’을 변경하는 경우로 한정하는 것이 타당하고 배출시설 규모의 합계나 누계의 100분의 30 이상의 증설이 있는 경우 그러한 변경허가의 대상이 된다고 보았다. 이러한 전제에서 원심은, 이 부분 공소사실 중 피고인 2 주식회사의 소각로 2호기, 3호기(이하 각각 ‘한국환경개발 2호기’, ‘한국환경개발 3호기’라 한다), 피고인 10 주식회사의 소각로 2호기(이하 ‘신대한정유 2호기’라 한다) 부분에 대해서는, 소각로의 규모 등 외형적인 증설이 없거나 과다 소각행위는 변경허가의 대상이 아니며, 피고인 3, 피고인 4, 피고인 5, 피고인 9, 피고인 12 및 피고인 13이 위 범행에 관여하였음을 인정하기 어렵다고 보아 위 피고인들 및 피고인 1, 피고인 2 주식회사, 피고인 6, 피고인 8 주식회사 및 피고인 10 주식회사에 대하여 무죄로 판단하였다. 또한 이 부분 공소사실 중 피고인 10 주식회사의 소각로 1호기(이하 ‘신대한정유 1호기’라 한다) 부분(유죄로 인정된 부분 제외)에 대해서 한 과다 소각행위에 대하여도 역시 변경허가의 대상이 아니라고 보아 피고인 3, 피고인 4, 피고인 5 및 피고인 8 주식회사에 대한 과다 소각행위 공소사실을 이유에서 무죄로 판단하였다.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(2) 먼저 원심이 과다 소각행위는 변경허가의 대상이 아니라고 판단한 것은 아래와 같은 점에 비추어 정당하다. </w:t>
      </w:r>
      <w:r>
        <w:rPr>
          <w:rFonts w:ascii="맑은 고딕" w:hAnsi="맑은 고딕" w:eastAsia="맑은 고딕" w:cs="맑은 고딕"/>
          <w:color w:val="000000"/>
        </w:rPr>
        <w:br/>
      </w:r>
      <w:r>
        <w:rPr>
          <w:rFonts w:ascii="맑은 고딕" w:hAnsi="맑은 고딕" w:eastAsia="맑은 고딕" w:cs="맑은 고딕"/>
          <w:color w:val="000000"/>
        </w:rPr>
        <w:t xml:space="preserve">  (가) 구 수도권대기환경특별법 제14조 제1항은 사업장의 ‘설치’와 관련하여 허가받은 사항을 변경할 때 허가를 받도록 하고 있다. 국어사전의 정의에 따르면 ‘설치’란 ‘어떤 일을 하는 데 필요한 기관이나 설비 따위를 베풀어 둠’을 의미한다.</w:t>
      </w:r>
      <w:r>
        <w:rPr>
          <w:rFonts w:ascii="맑은 고딕" w:hAnsi="맑은 고딕" w:eastAsia="맑은 고딕" w:cs="맑은 고딕"/>
          <w:color w:val="000000"/>
        </w:rPr>
        <w:br/>
      </w:r>
      <w:r>
        <w:rPr>
          <w:rFonts w:ascii="맑은 고딕" w:hAnsi="맑은 고딕" w:eastAsia="맑은 고딕" w:cs="맑은 고딕"/>
          <w:color w:val="000000"/>
        </w:rPr>
        <w:t xml:space="preserve">  (나) 구「수도권 대기환경개선에 관한 특별법 시행규칙」(2000. 4. 2. 환경부령 제857호 대기관리권역의 대기환경개선에 관한 특별법 시행규칙 부칙 제2조로 폐지) 제8조에 의하면, 사업장설치의 허가를 받으려는 자는 [별지 제1호 서식]의 대기오염물질 총량관리사업장 설치 허가신청서에 배출시설 및 방지시설의 설치내역서, 방지시설의 개요를 나타내는 도면, 방지시설의 연간 유지관리 계획서 등을 첨부하여야 하는데(제1항 제4호), 그 [별지 제1호 서식]에는 ‘대기오염물질 배출시설 및 방지시설’ 및 그 시설에 대한 사항을 기초로 하는 ‘대기오염물질 발생량’을 기재하는 난 등이 마련되어 있다. 한편 허가권자가 사업장설치를 허가하였을 경우에는 [별지 제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구 수도권 대기환경개선에 관한 특별법(2019. 4. 2. 법률 제16305호 대기관리권역의 대기환경개선에 관한 특별법 부칙 제2조로 폐지) 제14조 제1항(현행 대기관리권역의 대기환경개선에 관한 특별법 제15조 제1항 참조), 제20조 제1항(현행 대기관리권역의 대기환경개선에 관한 특별법 제22조 제1항 참조), 구 수도권 대기환경개선에 관한 특별법 시행규칙(2000. 4. 2. 환경부령 제857호 대기관리권역의 대기환경개선에 관한 특별법 시행규칙 부칙 제2조로 폐지) 제8조 제1항 [별지 제1호 서식](현행 대기관리권역의 대기환경개선에 관한 특별법 시행규칙 제8조 제1항 [별지 제1호 서식] 참조), 제2항 [별지 제2호 서식](현행 대기관리권역의 대기환경개선에 관한 특별법 시행규칙 제8조 제3항 [별지 제2호 서식] 참조)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#2020도13266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