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재활용부과금부과처분취소</w:t>
      </w:r>
    </w:p>
    <w:p>
      <w:pPr>
        <w:pStyle w:val="law1"/>
        <w:spacing w:after="160"/>
      </w:pPr>
      <w:r>
        <w:rPr>
          <w:rFonts w:ascii="맑은 고딕" w:hAnsi="맑은 고딕" w:eastAsia="맑은 고딕" w:cs="맑은 고딕"/>
          <w:color w:val="000000"/>
        </w:rPr>
        <w:t>대법원 2020두42774 (2022.12.15 선고) · 일반행정</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2020두42774</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2022.12.15</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일반행정</w:t>
            </w:r>
          </w:p>
        </w:tc>
      </w:tr>
    </w:tbl>
    <w:p/>
    <w:p/>
    <w:p>
      <w:pPr>
        <w:pStyle w:val="2"/>
        <w:spacing w:before="80"/>
      </w:pPr>
      <w:r>
        <w:rPr>
          <w:rFonts w:ascii="맑은 고딕" w:hAnsi="맑은 고딕" w:eastAsia="맑은 고딕" w:cs="맑은 고딕"/>
          <w:color w:val="000000"/>
        </w:rPr>
        <w:t>2. 판시사항</w:t>
      </w:r>
    </w:p>
    <w:p>
      <w:r>
        <w:rPr>
          <w:rFonts w:ascii="맑은 고딕" w:hAnsi="맑은 고딕" w:eastAsia="맑은 고딕" w:cs="맑은 고딕"/>
          <w:color w:val="000000"/>
        </w:rPr>
        <w:t>재활용사업공제조합에 재활용부과금을 부과하기 위한 요건인 구 자원의 절약과 재활용촉진에 관한 법률 제19조 제1항의 ‘재활용사업공제조합이 조합원의 재활용의무를 대행하지 아니하는 경우’의 의미 / 재활용의무생산자의 조합원 자격이 상실 또는 정지되는 등으로 재활용사업공제조합이 재활용의무생산자의 재활용의무를 대행할 의무가 인정되지 않는 경우, 재활용사업공제조합에 대하여 위 제19조 제1항에 따른 재활용부과금을 부과할 수 있는지 여부(소극) 및 이때 재활용부과금 부과 대상(=재활용의무생산자)</w:t>
      </w:r>
    </w:p>
    <w:p/>
    <w:p/>
    <w:p>
      <w:pPr>
        <w:pStyle w:val="2"/>
        <w:spacing w:before="80"/>
      </w:pPr>
      <w:r>
        <w:rPr>
          <w:rFonts w:ascii="맑은 고딕" w:hAnsi="맑은 고딕" w:eastAsia="맑은 고딕" w:cs="맑은 고딕"/>
          <w:color w:val="000000"/>
        </w:rPr>
        <w:t>3. 판례 내용(발췌)</w:t>
      </w:r>
    </w:p>
    <w:p>
      <w:r>
        <w:rPr>
          <w:rFonts w:ascii="맑은 고딕" w:hAnsi="맑은 고딕" w:eastAsia="맑은 고딕" w:cs="맑은 고딕"/>
          <w:color w:val="000000"/>
        </w:rPr>
        <w:t xml:space="preserve">【이    유】  상고이유를 판단한다. </w:t>
      </w:r>
      <w:r>
        <w:rPr>
          <w:rFonts w:ascii="맑은 고딕" w:hAnsi="맑은 고딕" w:eastAsia="맑은 고딕" w:cs="맑은 고딕"/>
          <w:color w:val="000000"/>
        </w:rPr>
        <w:br/>
      </w:r>
      <w:r>
        <w:rPr>
          <w:rFonts w:ascii="맑은 고딕" w:hAnsi="맑은 고딕" w:eastAsia="맑은 고딕" w:cs="맑은 고딕"/>
          <w:color w:val="000000"/>
        </w:rPr>
        <w:t xml:space="preserve">  1. 사안의 개요</w:t>
      </w:r>
      <w:r>
        <w:rPr>
          <w:rFonts w:ascii="맑은 고딕" w:hAnsi="맑은 고딕" w:eastAsia="맑은 고딕" w:cs="맑은 고딕"/>
          <w:color w:val="000000"/>
        </w:rPr>
        <w:br/>
      </w:r>
      <w:r>
        <w:rPr>
          <w:rFonts w:ascii="맑은 고딕" w:hAnsi="맑은 고딕" w:eastAsia="맑은 고딕" w:cs="맑은 고딕"/>
          <w:color w:val="000000"/>
        </w:rPr>
        <w:t xml:space="preserve">  원심판결 이유와 기록에 의하면 다음 사실을 알 수 있다.</w:t>
      </w:r>
      <w:r>
        <w:rPr>
          <w:rFonts w:ascii="맑은 고딕" w:hAnsi="맑은 고딕" w:eastAsia="맑은 고딕" w:cs="맑은 고딕"/>
          <w:color w:val="000000"/>
        </w:rPr>
        <w:br/>
      </w:r>
      <w:r>
        <w:rPr>
          <w:rFonts w:ascii="맑은 고딕" w:hAnsi="맑은 고딕" w:eastAsia="맑은 고딕" w:cs="맑은 고딕"/>
          <w:color w:val="000000"/>
        </w:rPr>
        <w:t xml:space="preserve">  가. 원고들은 조명용품인 형광등의 제조·수입업자로서 구 「자원의 절약과 재활용촉진에 관한 법률」(2015. 1. 20. 법률 제13036호로 개정되기 전의 것, 이하 ‘구 자원재활용법’이라 한다) 제16조 제1항, 구 「자원의 절약과 재활용촉진에 관한 법률 시행령」(2019. 12. 24. 대통령령 제30259호로 개정되기 전의 것, 이하 ‘구 자원재활용법 시행령’이라 한다) 제18조 제7호에 따른 재활용이 가능한 제품·포장재의 제조업자·수입업자 등(이하 ‘재활용의무생산자’라 한다)에 해당한다.</w:t>
      </w:r>
      <w:r>
        <w:rPr>
          <w:rFonts w:ascii="맑은 고딕" w:hAnsi="맑은 고딕" w:eastAsia="맑은 고딕" w:cs="맑은 고딕"/>
          <w:color w:val="000000"/>
        </w:rPr>
        <w:br/>
      </w:r>
      <w:r>
        <w:rPr>
          <w:rFonts w:ascii="맑은 고딕" w:hAnsi="맑은 고딕" w:eastAsia="맑은 고딕" w:cs="맑은 고딕"/>
          <w:color w:val="000000"/>
        </w:rPr>
        <w:t xml:space="preserve">  사단법인 한국조명재활용협회(이하 ‘이 사건 협회’라 한다)는 조명용품 재활용의무생산자들의 재활용의무를 대행하기 위하여 환경부장관으로부터 2000. 9. 26. 비영리법인 설립허가를 받고, 2003. 12. 16. 당시 시행되던 법률에 따라 재활용사업공제조합(이하 ‘재활용조합’이라 한다) 설립인가를 받은 법인이다. </w:t>
      </w:r>
      <w:r>
        <w:rPr>
          <w:rFonts w:ascii="맑은 고딕" w:hAnsi="맑은 고딕" w:eastAsia="맑은 고딕" w:cs="맑은 고딕"/>
          <w:color w:val="000000"/>
        </w:rPr>
        <w:br/>
      </w:r>
      <w:r>
        <w:rPr>
          <w:rFonts w:ascii="맑은 고딕" w:hAnsi="맑은 고딕" w:eastAsia="맑은 고딕" w:cs="맑은 고딕"/>
          <w:color w:val="000000"/>
        </w:rPr>
        <w:t xml:space="preserve">  피고는 구 자원재활용법 제38조 제2항, 구 자원재활용법 시행령 제48조 제3항에 따라 환경부장관으로부터 재활용의무생산자 및 재활용조합의 재활용 의무이행계획서의 검토·승인, 재활용 의무이행결과보고서의 접수 및 그에 따른 재활용부과금의 산정, 부과 및 납부고지 등의 업무를 위탁받아 수행하는 기관이다.</w:t>
      </w:r>
      <w:r>
        <w:rPr>
          <w:rFonts w:ascii="맑은 고딕" w:hAnsi="맑은 고딕" w:eastAsia="맑은 고딕" w:cs="맑은 고딕"/>
          <w:color w:val="000000"/>
        </w:rPr>
        <w:br/>
      </w:r>
      <w:r>
        <w:rPr>
          <w:rFonts w:ascii="맑은 고딕" w:hAnsi="맑은 고딕" w:eastAsia="맑은 고딕" w:cs="맑은 고딕"/>
          <w:color w:val="000000"/>
        </w:rPr>
        <w:t xml:space="preserve">  나. 원고들은 이 사건 협회의 조합원으로서 이 사건 협회에 재활용분담금을 납부하는 방식으로 재활용의무를 이행하여 오던 중, 이 사건 협회의 재정상태 악화 등을 이유로 2014년 1, 2분기분 재활용분담금을 납부하지 아니하였다. 이 사건 협회는 2014. 9. 15. 원고들을 포함하여 2014년 1, 2분기분 재활용분담금을 납부하지 않은 16개 조합원들에 대하여 ‘정당한 이유 없이 재활용분담금의 지급을 2개월 이상 지연하였다.’는 이유로 1년간의 회원사 자격정지를 통보하고(이하 ‘이 사건 자격정지’라 한다), 2014. 8. 28.경 및 같은 해 9. 12.경 환경부장관과 피고에게 자격정지에 관한 이사회 결의내용 및 16개 조합원들에 대한 자격정지 사실을 알려주었다.</w:t>
      </w:r>
      <w:r>
        <w:rPr>
          <w:rFonts w:ascii="맑은 고딕" w:hAnsi="맑은 고딕" w:eastAsia="맑은 고딕" w:cs="맑은 고딕"/>
          <w:color w:val="000000"/>
        </w:rPr>
        <w:br/>
      </w:r>
      <w:r>
        <w:rPr>
          <w:rFonts w:ascii="맑은 고딕" w:hAnsi="맑은 고딕" w:eastAsia="맑은 고딕" w:cs="맑은 고딕"/>
          <w:color w:val="000000"/>
        </w:rPr>
        <w:t xml:space="preserve">  다. 이 사건 협회는 2015. 4. 30. 피고에게 이 사건 자격정지를 받은 조합원들의 2014년 4분기 출고량을 제외한 제품 출고·수입실적을 첨부하여 2014년도 회수 및 재활용 의무이행결과보고서를 제출하였으나, 피고는 2015. 9. 15. 위 2014년 4분기 출고량을 포함시켜 이 사건 협회의 재활용의무량을 산정한 다음 이를 전제로 이 사건 협회에 540,101,610원의 재활용부과금을 부과하였다.</w:t>
      </w:r>
      <w:r>
        <w:rPr>
          <w:rFonts w:ascii="맑은 고딕" w:hAnsi="맑은 고딕" w:eastAsia="맑은 고딕" w:cs="맑은 고딕"/>
          <w:color w:val="000000"/>
        </w:rPr>
        <w:br/>
      </w:r>
      <w:r>
        <w:rPr>
          <w:rFonts w:ascii="맑은 고딕" w:hAnsi="맑은 고딕" w:eastAsia="맑은 고딕" w:cs="맑은 고딕"/>
          <w:color w:val="000000"/>
        </w:rPr>
        <w:t xml:space="preserve">  라. 이 사건 협회는 자격정지를 받은 조합원들의 2014년 4분기 출고량을 연간 출고량에 포함시킨 것은 부당하다고 주장하며 위 재활용부과금 부과처분의 취소를 구하는 소를 제기하였고(인천지방법원 2016구합937), 2017. 3. 31. 이 사건 협회의 주장이 이유 있음을 이유로 위 처분을 취소하는 판결이 선고되었다. 이에 대하여 피고가 항소(서울고등법원 2017누44949) 및 상고(대법원 2017두74443)를 하였으나 모두 기각되어 2018. 4. 16. 위 제1심판결이 그대로 확정되었다(이하 ‘선행판결’ …</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구 자원의 절약과 재활용촉진에 관한 법률(2015. 1. 20. 법률 제13036호로 개정되기 전의 것) 제1조, 제16조 제1항, 제2항(현행 제16조 제3항 참조), 제19조 제1항, 제27조 제1항</w:t>
      </w:r>
    </w:p>
    <w:p>
      <w:pPr>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#재활용 #재활용부과금 #대법원판례 #2020두42774 #인허가서대리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