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폐기물처리사업계획서부적합통보취소</w:t>
      </w:r>
    </w:p>
    <w:p>
      <w:pPr>
        <w:pStyle w:val="law1"/>
        <w:spacing w:after="160"/>
      </w:pPr>
      <w:r>
        <w:rPr>
          <w:rFonts w:ascii="맑은 고딕" w:hAnsi="맑은 고딕" w:eastAsia="맑은 고딕" w:cs="맑은 고딕"/>
          <w:color w:val="000000"/>
        </w:rPr>
        <w:t>대법원 2021두45671 (2021.12.30 선고) · 일반행정</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2021두45671</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2021.12.30</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일반행정</w:t>
            </w:r>
          </w:p>
        </w:tc>
      </w:tr>
    </w:tbl>
    <w:p/>
    <w:p/>
    <w:p>
      <w:pPr>
        <w:pStyle w:val="2"/>
        <w:spacing w:before="80"/>
      </w:pPr>
      <w:r>
        <w:rPr>
          <w:rFonts w:ascii="맑은 고딕" w:hAnsi="맑은 고딕" w:eastAsia="맑은 고딕" w:cs="맑은 고딕"/>
          <w:color w:val="000000"/>
        </w:rPr>
        <w:t>2. 판시사항</w:t>
      </w:r>
    </w:p>
    <w:p>
      <w:r>
        <w:rPr>
          <w:rFonts w:ascii="맑은 고딕" w:hAnsi="맑은 고딕" w:eastAsia="맑은 고딕" w:cs="맑은 고딕"/>
          <w:color w:val="000000"/>
        </w:rPr>
        <w:t>[1] 산업집적활성화 및 공장설립에 관한 법률상 산업단지에서 폐기물처리업을 영위하는 내용의 폐기물처리사업계획서가 해당 산업단지의 관리기본계획에 적합하지 않은 경우, 시·도지사는 폐기물관리법 제25조 제2항 제2호를 근거로 폐기물처리사업계획서 부적합 통보를 할 수 있는지 여부(적극)</w:t>
      </w:r>
      <w:r>
        <w:rPr>
          <w:rFonts w:ascii="맑은 고딕" w:hAnsi="맑은 고딕" w:eastAsia="맑은 고딕" w:cs="맑은 고딕"/>
          <w:color w:val="000000"/>
        </w:rPr>
        <w:br/>
      </w:r>
      <w:r>
        <w:rPr>
          <w:rFonts w:ascii="맑은 고딕" w:hAnsi="맑은 고딕" w:eastAsia="맑은 고딕" w:cs="맑은 고딕"/>
          <w:color w:val="000000"/>
        </w:rPr>
        <w:t>[2] 행정청의 행위에 대하여 신뢰보호원칙이 적용되기 위한 요건 및 그중 행정청의 공적 견해표명이 있었는지 판단하는 방법</w:t>
      </w:r>
    </w:p>
    <w:p/>
    <w:p/>
    <w:p>
      <w:pPr>
        <w:pStyle w:val="2"/>
        <w:spacing w:before="80"/>
      </w:pPr>
      <w:r>
        <w:rPr>
          <w:rFonts w:ascii="맑은 고딕" w:hAnsi="맑은 고딕" w:eastAsia="맑은 고딕" w:cs="맑은 고딕"/>
          <w:color w:val="000000"/>
        </w:rPr>
        <w:t>3. 판례 내용(발췌)</w:t>
      </w:r>
    </w:p>
    <w:p>
      <w:r>
        <w:rPr>
          <w:rFonts w:ascii="맑은 고딕" w:hAnsi="맑은 고딕" w:eastAsia="맑은 고딕" w:cs="맑은 고딕"/>
          <w:color w:val="000000"/>
        </w:rPr>
        <w:t>【이    유】  상고이유를 판단한다.</w:t>
      </w:r>
      <w:r>
        <w:rPr>
          <w:rFonts w:ascii="맑은 고딕" w:hAnsi="맑은 고딕" w:eastAsia="맑은 고딕" w:cs="맑은 고딕"/>
          <w:color w:val="000000"/>
        </w:rPr>
        <w:br/>
      </w:r>
      <w:r>
        <w:rPr>
          <w:rFonts w:ascii="맑은 고딕" w:hAnsi="맑은 고딕" w:eastAsia="맑은 고딕" w:cs="맑은 고딕"/>
          <w:color w:val="000000"/>
        </w:rPr>
        <w:t xml:space="preserve">  1. 사안의 개요 및 쟁점</w:t>
      </w:r>
      <w:r>
        <w:rPr>
          <w:rFonts w:ascii="맑은 고딕" w:hAnsi="맑은 고딕" w:eastAsia="맑은 고딕" w:cs="맑은 고딕"/>
          <w:color w:val="000000"/>
        </w:rPr>
        <w:br/>
      </w:r>
      <w:r>
        <w:rPr>
          <w:rFonts w:ascii="맑은 고딕" w:hAnsi="맑은 고딕" w:eastAsia="맑은 고딕" w:cs="맑은 고딕"/>
          <w:color w:val="000000"/>
        </w:rPr>
        <w:t xml:space="preserve">  가. 원심판결 이유와 기록에 의하면 다음 사실을 알 수 있다.</w:t>
      </w:r>
      <w:r>
        <w:rPr>
          <w:rFonts w:ascii="맑은 고딕" w:hAnsi="맑은 고딕" w:eastAsia="맑은 고딕" w:cs="맑은 고딕"/>
          <w:color w:val="000000"/>
        </w:rPr>
        <w:br/>
      </w:r>
      <w:r>
        <w:rPr>
          <w:rFonts w:ascii="맑은 고딕" w:hAnsi="맑은 고딕" w:eastAsia="맑은 고딕" w:cs="맑은 고딕"/>
          <w:color w:val="000000"/>
        </w:rPr>
        <w:t xml:space="preserve">  1) 원고는 반도체 소재 제조업을 영위하는 회사이다. 피고는 충북 음성군 (주소 1 생략) 일원에 있는 ○○산업단지(이하 ‘이 사건 산업단지’라 한다)의 관리기관이자 충청북도지사로부터 충북 음성군 지역의 폐기물처리사업계획서 적합 여부 통보 권한을 위임받은 행정청이다.</w:t>
      </w:r>
      <w:r>
        <w:rPr>
          <w:rFonts w:ascii="맑은 고딕" w:hAnsi="맑은 고딕" w:eastAsia="맑은 고딕" w:cs="맑은 고딕"/>
          <w:color w:val="000000"/>
        </w:rPr>
        <w:br/>
      </w:r>
      <w:r>
        <w:rPr>
          <w:rFonts w:ascii="맑은 고딕" w:hAnsi="맑은 고딕" w:eastAsia="맑은 고딕" w:cs="맑은 고딕"/>
          <w:color w:val="000000"/>
        </w:rPr>
        <w:t xml:space="preserve">  2) 원고는 2017. 9. 15. 피고와 사이에 「산업집적활성화 및 공장설립에 관한 법률」(이하 ‘산업집적법’이라 한다) 제38조 제1항에 따라 업종을 기타 반도체 소재 제조업(C26), 공장소재지를 이 사건 산업단지 내 산업시설구역에 있는 위 (주소 2 생략) 공장부지로 정하여 입주계약(이하 ‘이 사건 입주계약’이라 한다)을 체결하고, 위 공장부지에 공장(이하 ‘이 사건 공장’이라 한다)을 신축하였다.</w:t>
      </w:r>
      <w:r>
        <w:rPr>
          <w:rFonts w:ascii="맑은 고딕" w:hAnsi="맑은 고딕" w:eastAsia="맑은 고딕" w:cs="맑은 고딕"/>
          <w:color w:val="000000"/>
        </w:rPr>
        <w:br/>
      </w:r>
      <w:r>
        <w:rPr>
          <w:rFonts w:ascii="맑은 고딕" w:hAnsi="맑은 고딕" w:eastAsia="맑은 고딕" w:cs="맑은 고딕"/>
          <w:color w:val="000000"/>
        </w:rPr>
        <w:t xml:space="preserve">  3) 원고는 2018. 10. 18. 피고에게 이 사건 공장에서 주석찌꺼기 폐기물을 재활용하여 반도체 소재 재료 원료인 주석괴를 만들겠다는 내용의 폐기물처리사업계획서(이하 ‘이 사건 사업계획서’라고 한다)를 제출하였다. </w:t>
      </w:r>
      <w:r>
        <w:rPr>
          <w:rFonts w:ascii="맑은 고딕" w:hAnsi="맑은 고딕" w:eastAsia="맑은 고딕" w:cs="맑은 고딕"/>
          <w:color w:val="000000"/>
        </w:rPr>
        <w:br/>
      </w:r>
      <w:r>
        <w:rPr>
          <w:rFonts w:ascii="맑은 고딕" w:hAnsi="맑은 고딕" w:eastAsia="맑은 고딕" w:cs="맑은 고딕"/>
          <w:color w:val="000000"/>
        </w:rPr>
        <w:t xml:space="preserve">  4) 피고는 2018. 11. 13. 원고에 대하여 이 사건 산업단지의 관리기본계획에 따르면 이 사건 공장에서 폐기물 수집·운반·처리 및 원료재생업(E38)의 하위업종인 금속원료재생업(E38301)을 할 수 없다는 이유로 부적합 통보(이하 ‘이 사건 처분’이라 한다)를 하였다.</w:t>
      </w:r>
      <w:r>
        <w:rPr>
          <w:rFonts w:ascii="맑은 고딕" w:hAnsi="맑은 고딕" w:eastAsia="맑은 고딕" w:cs="맑은 고딕"/>
          <w:color w:val="000000"/>
        </w:rPr>
        <w:br/>
      </w:r>
      <w:r>
        <w:rPr>
          <w:rFonts w:ascii="맑은 고딕" w:hAnsi="맑은 고딕" w:eastAsia="맑은 고딕" w:cs="맑은 고딕"/>
          <w:color w:val="000000"/>
        </w:rPr>
        <w:t xml:space="preserve">  나. 이 사건의 쟁점은 ① 이 사건 사업계획서가 이 사건 산업단지의 관리기본계획에 위배되는지, ② 이 사건 처분이 신뢰보호원칙에 위배되는지 여부이다.</w:t>
      </w:r>
      <w:r>
        <w:rPr>
          <w:rFonts w:ascii="맑은 고딕" w:hAnsi="맑은 고딕" w:eastAsia="맑은 고딕" w:cs="맑은 고딕"/>
          <w:color w:val="000000"/>
        </w:rPr>
        <w:br/>
      </w:r>
      <w:r>
        <w:rPr>
          <w:rFonts w:ascii="맑은 고딕" w:hAnsi="맑은 고딕" w:eastAsia="맑은 고딕" w:cs="맑은 고딕"/>
          <w:color w:val="000000"/>
        </w:rPr>
        <w:t xml:space="preserve">  2. 이 사건 사업계획서가 이 사건 산업단지의 관리기본계획에 위배되는지 여부(상고이유 제1점)</w:t>
      </w:r>
      <w:r>
        <w:rPr>
          <w:rFonts w:ascii="맑은 고딕" w:hAnsi="맑은 고딕" w:eastAsia="맑은 고딕" w:cs="맑은 고딕"/>
          <w:color w:val="000000"/>
        </w:rPr>
        <w:br/>
      </w:r>
      <w:r>
        <w:rPr>
          <w:rFonts w:ascii="맑은 고딕" w:hAnsi="맑은 고딕" w:eastAsia="맑은 고딕" w:cs="맑은 고딕"/>
          <w:color w:val="000000"/>
        </w:rPr>
        <w:t xml:space="preserve">  가. 구 「산업집적활성화 및 공장설립에 관한 법률」(2019. 12. 10. 법률 제16799호로 개정되기 전의 것, 이하 ‘구 산업집적법’이라 한다) 제33조 제1항, 제5항에 따르면, 산업단지 관리기관은 입주대상업종 및 입주기업체의 자격에 관한 사항, 산업단지의 용도별 구역에 관한 사항, 업종별 공장의 배치에 관한 사항 등을 포함한 관리기본계획을 수립하여야 한다. 위 용도별 구역은 산업시설구역·지원시설구역·공공시설구역 및 녹지구역으로 구분할 수 있다. 산업시설구역에 공장 및 업종을 배치할 때에는 업종 배치계획을 수립한 후 이에 따라야 한다[구 산업집적법 제33조 제6항, 구 산업집적법 시행령(2020. 5. 12. 대통령령 제30672호로 개정되기 전의 것, 이하 같다) 제43조 제1항, 제3항].</w:t>
      </w:r>
      <w:r>
        <w:rPr>
          <w:rFonts w:ascii="맑은 고딕" w:hAnsi="맑은 고딕" w:eastAsia="맑은 고딕" w:cs="맑은 고딕"/>
          <w:color w:val="000000"/>
        </w:rPr>
        <w:br/>
      </w:r>
      <w:r>
        <w:rPr>
          <w:rFonts w:ascii="맑은 고딕" w:hAnsi="맑은 고딕" w:eastAsia="맑은 고딕" w:cs="맑은 고딕"/>
          <w:color w:val="000000"/>
        </w:rPr>
        <w:t xml:space="preserve">  산업단지에서 제조업을 하거나 하려는 자는 관리기관과 공장소재지, 입주형태, 업종, 규모 등을 정하여 입주계약을 체결하여야 한다(산업집적법 제38조 제1항, 산업집적법 시행규칙 제34조). 업종을 변경할 때는 변경계약을 체결하여야 한다(산업집적법 제38조 제2항, 산업집적법 시행규칙 제35조 제1항 제2호). 입주계약과 변경계약은 관련 법령과 해당 산업단지의 관리기본계획에 적합하여야 한다(산업집적법 시행령 제48조의2 제4항).</w:t>
      </w:r>
      <w:r>
        <w:rPr>
          <w:rFonts w:ascii="맑은 고딕" w:hAnsi="맑은 고딕" w:eastAsia="맑은 고딕" w:cs="맑은 고딕"/>
          <w:color w:val="000000"/>
        </w:rPr>
        <w:br/>
      </w:r>
      <w:r>
        <w:rPr>
          <w:rFonts w:ascii="맑은 고딕" w:hAnsi="맑은 고딕" w:eastAsia="맑은 고딕" w:cs="맑은 고딕"/>
          <w:color w:val="000000"/>
        </w:rPr>
        <w:t xml:space="preserve">  한편 폐기물관리법 제25조 제1항은 폐기물처리업 중 지정폐기물이 아닌 폐기물의 수집·운반, 재활용 또는 처분을 업으로 하려는 자 …</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[1] 구 산업집적활성화 및 공장설립에 관한 법률(2019. 12. 10. 법률 제16799호로 개정되기 전의 것) 제33조 제1항, 제5항(현행 제33조 제7항 참조), 제6항(현행 제33조 제8항 참조), 제38조 제1항, 제2항, 구 산업집적활성화 및 공장설립에 관한 법률 시행령(2020. 5. 12. 대통령령 제30672호로 개정되기 전의 것) 제43조 제1항, 제3항, 제48조의2 제4항, 산업집적활성화 및 공장설립에 관한 법률 시행규칙 제34조, 제35조 제1항 제2호, 폐기물관리법 제25조 제1항, 제2항 제2호 / [2] 행정기본법 제12조, 행정절차법 제4조 제2항</w:t>
      </w:r>
    </w:p>
    <w:p>
      <w:pPr>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#폐기물처리사업계획서 #부적합통보 #대법원판례 #2021두45671 #인허가서대리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