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폐기물관리법위반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2023도3914 (2024.05.09 선고) · 형사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2023도3914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2024.05.09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판시사항</w:t>
      </w:r>
    </w:p>
    <w:p>
      <w:r>
        <w:rPr>
          <w:rFonts w:ascii="맑은 고딕" w:hAnsi="맑은 고딕" w:eastAsia="맑은 고딕" w:cs="맑은 고딕"/>
          <w:color w:val="000000"/>
        </w:rPr>
        <w:t>휴대전화 문자메시지가 전자문서 및 전자거래 기본법 제4조의2에서 정한 요건을 갖춘 경우, 폐기물관리법 시행규칙 제68조의3 제1항에서 정한 서면의 범위에 포함되는지 여부(적극) / 행정청이 폐기물관리법 제48조 제1항, 같은 법 시행규칙 제68조의3 제1항에서 정한 폐기물 조치명령을 전자문서로 하는 경우, 구 행정절차법 제24조 제1항에 따라 당사자의 동의가 필요한지 여부(적극)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판결요지</w:t>
      </w:r>
    </w:p>
    <w:p>
      <w:r>
        <w:rPr>
          <w:rFonts w:ascii="맑은 고딕" w:hAnsi="맑은 고딕" w:eastAsia="맑은 고딕" w:cs="맑은 고딕"/>
          <w:color w:val="000000"/>
        </w:rPr>
        <w:t>전자문서 및 전자거래 기본법(이하 ‘전자문서법’이라 한다) 제2조 제1호, 제4조의2의 규정에 비추어 보면, 전자우편은 물론 휴대전화 문자메시지도 전자문서에 해당한다고 할 것이므로, 휴대전화 문자메시지가 전자문서법 제4조의2에서 정한 요건을 갖춘 이상 폐기물관리법 시행규칙 제68조의3 제1항에서 정한 서면의 범위에 포함된다고 할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다만 행정청이 폐기물관리법 제48조 제1항, 같은 법 시행규칙 제68조의3 제1항에서 정한 폐기물 조치명령을 전자문서로 하고자 할 때에는 구 행정절차법(2022. 1. 11. 법률 제18748호로 개정되기 전의 것) 제24조 제1항에 따라 당사자의 동의가 필요하다.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폐기물관리법 제48조 제1항, 폐기물관리법 시행규칙 제68조의3 제1항, 전자문서 및 전자거래 기본법 제2조 제1호, 제4조의2, 구 행정절차법(2022. 1. 11. 법률 제18748호로 개정되기 전의 것) 제24조 제1항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#대법원판례 #2023도3914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