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폐기물처리사업계획신청반려처분취소</w:t>
      </w:r>
    </w:p>
    <w:p>
      <w:pPr>
        <w:pStyle w:val="law1"/>
        <w:spacing w:after="160"/>
      </w:pPr>
      <w:r>
        <w:rPr>
          <w:rFonts w:ascii="맑은 고딕" w:hAnsi="맑은 고딕" w:eastAsia="맑은 고딕" w:cs="맑은 고딕"/>
          <w:color w:val="000000"/>
        </w:rPr>
        <w:t>대법원 2023두35661 (2023.07.27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2023두35661</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2023.07.27</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행정청이 폐기물처리사업계획서의 적합 여부를 판단하는 방법 및 폐기물처리사업계획서의 적합 여부 결정에 관하여 행정청에 광범위한 재량권이 인정되는지 여부(적극) / 법원이 적합 여부 결정과 관련한 행정청의 재량권 일탈·남용 여부를 심사하는 방법 / 장래에 발생할 불확실한 상황과 파급효과에 대한 예측이 필요한 요건에 관한 행정청의 재량적 판단은 폭넓게 존중되어야 하는지 여부(원칙적 적극)</w:t>
      </w:r>
      <w:r>
        <w:rPr>
          <w:rFonts w:ascii="맑은 고딕" w:hAnsi="맑은 고딕" w:eastAsia="맑은 고딕" w:cs="맑은 고딕"/>
          <w:color w:val="000000"/>
        </w:rPr>
        <w:br/>
      </w:r>
      <w:r>
        <w:rPr>
          <w:rFonts w:ascii="맑은 고딕" w:hAnsi="맑은 고딕" w:eastAsia="맑은 고딕" w:cs="맑은 고딕"/>
          <w:color w:val="000000"/>
        </w:rPr>
        <w:t>[2] 처분이 재량권을 일탈·남용했다는 사정에 관한 증명책임의 소재(=처분의 효력을 다투는 자) / 행정청이 처분서에 불확정개념으로 규정된 법령상 허가기준 등을 충족하지 못했다는 취지만 간략히 기재하여 폐기물처리사업계획서 반려 내지 부적합 통보를 한 경우, 이에 대한 취소소송절차에서 행정청이 구체적 불허가사유를 분명히 해야 하는지 여부(적극) 및 이 경우 원고는 구체적 불허가사유에 관한 판단과 근거에 재량권 일탈·남용의 위법을 밝히기 위해 소송절차에서 추가적인 주장과 자료를 제출할 필요가 있는지 여부(적극)</w:t>
      </w:r>
    </w:p>
    <w:p/>
    <w:p/>
    <w:p>
      <w:pPr>
        <w:pStyle w:val="2"/>
        <w:spacing w:before="80"/>
      </w:pPr>
      <w:r>
        <w:rPr>
          <w:rFonts w:ascii="맑은 고딕" w:hAnsi="맑은 고딕" w:eastAsia="맑은 고딕" w:cs="맑은 고딕"/>
          <w:color w:val="000000"/>
        </w:rPr>
        <w:t>3. 판례 내용(발췌)</w:t>
      </w:r>
    </w:p>
    <w:p>
      <w:r>
        <w:rPr>
          <w:rFonts w:ascii="맑은 고딕" w:hAnsi="맑은 고딕" w:eastAsia="맑은 고딕" w:cs="맑은 고딕"/>
          <w:color w:val="000000"/>
        </w:rPr>
        <w:t>【이    유】  상고이유를 판단한다.</w:t>
      </w:r>
      <w:r>
        <w:rPr>
          <w:rFonts w:ascii="맑은 고딕" w:hAnsi="맑은 고딕" w:eastAsia="맑은 고딕" w:cs="맑은 고딕"/>
          <w:color w:val="000000"/>
        </w:rPr>
        <w:br/>
      </w:r>
      <w:r>
        <w:rPr>
          <w:rFonts w:ascii="맑은 고딕" w:hAnsi="맑은 고딕" w:eastAsia="맑은 고딕" w:cs="맑은 고딕"/>
          <w:color w:val="000000"/>
        </w:rPr>
        <w:t xml:space="preserve">  1. 관련 법리</w:t>
      </w:r>
      <w:r>
        <w:rPr>
          <w:rFonts w:ascii="맑은 고딕" w:hAnsi="맑은 고딕" w:eastAsia="맑은 고딕" w:cs="맑은 고딕"/>
          <w:color w:val="000000"/>
        </w:rPr>
        <w:br/>
      </w:r>
      <w:r>
        <w:rPr>
          <w:rFonts w:ascii="맑은 고딕" w:hAnsi="맑은 고딕" w:eastAsia="맑은 고딕" w:cs="맑은 고딕"/>
          <w:color w:val="000000"/>
        </w:rPr>
        <w:t xml:space="preserve">  가. 폐기물관리법은 폐기물의 발생을 최대한 억제하고 발생한 폐기물을 친환경적으로 처리함으로써 환경보전과 국민생활의 질적 향상에 이바지하는 것을 목적으로 한다(제1조). 이는 2010. 7. 23. 법률 제10389호로 개정되기 전의 구 폐기물관리법이 ‘폐기물을 적정하게 처리할 것’을 입법 목적으로 하던 것에서 더 나아가 ‘폐기물을 친환경적으로 처리할 것’까지 요구하는 것이다.</w:t>
      </w:r>
      <w:r>
        <w:rPr>
          <w:rFonts w:ascii="맑은 고딕" w:hAnsi="맑은 고딕" w:eastAsia="맑은 고딕" w:cs="맑은 고딕"/>
          <w:color w:val="000000"/>
        </w:rPr>
        <w:br/>
      </w:r>
      <w:r>
        <w:rPr>
          <w:rFonts w:ascii="맑은 고딕" w:hAnsi="맑은 고딕" w:eastAsia="맑은 고딕" w:cs="맑은 고딕"/>
          <w:color w:val="000000"/>
        </w:rPr>
        <w:t xml:space="preserve">  이에 따라 폐기물처리업 중 지정폐기물(사업장폐기물 중 폐유·폐산 등 주변 환경을 오염시킬 수 있거나 의료폐기물 등 인체에 위해를 줄 수 있는 해로운 물질로서 대통령령으로 정하는 폐기물을 말한다. 폐기물관리법 제2조 제4호)이 아닌 경우에도, 폐기물의 수집·운반, 재활용 또는 처분을 업으로 하려는 사람은 허가신청에 앞서 사업의 개요와 시설·장비 설치내용 등을 기재한 ‘폐기물처리사업계획서’를 시·도지사에게 제출하여야 하고(제25조 제1항), 시·도지사는 제출된 폐기물처리사업계획서를 위 법상의 다른 요건들과 더불어 ‘폐기물처리시설의 설치·운영으로 수도법 제7조에 따른 상수원보호구역의 수질이 악화되거나 환경정책기본법 제12조에 따른 환경기준의 유지가 곤란하게 되는 등 사람의 건강이나 주변 환경에 영향을 미치는지 여부(제25조 제2항 제4호)’를 심사하여야 한다. 이는 2015. 1. 20. 법률 제13038호로 개정되기 전의 구 폐기물관리법 제25조 제2항 제4호가 심사기준으로 ‘폐기물처리시설의 설치·운영으로 사람의 건강이나 주변 환경에 영향을 미치는지 여부’로 규정하였던 것에서 더 나아가 ‘환경정책기본법상의 환경기준 유지 여부’를 구체적인 심사기준으로 명시한 것이다. 따라서 시·도지사는 폐기물처리사업계획서의 적합 여부를 판단함에 있어, 환경의 질적인 향상과 그 보전을 통한 쾌적한 환경의 조성 및 이를 통한 인간과 환경 간의 조화와 균형의 유지라는 환경정책기본법의 입법 취지와 환경정책기본법에 따라 설정된 환경기준도 고려하여야 한다.</w:t>
      </w:r>
      <w:r>
        <w:rPr>
          <w:rFonts w:ascii="맑은 고딕" w:hAnsi="맑은 고딕" w:eastAsia="맑은 고딕" w:cs="맑은 고딕"/>
          <w:color w:val="000000"/>
        </w:rPr>
        <w:br/>
      </w:r>
      <w:r>
        <w:rPr>
          <w:rFonts w:ascii="맑은 고딕" w:hAnsi="맑은 고딕" w:eastAsia="맑은 고딕" w:cs="맑은 고딕"/>
          <w:color w:val="000000"/>
        </w:rPr>
        <w:t>폐기물관리법 제25조 제2항 제4호가 인용하고 있는 환경정책기본법 제12조 제1항은 “국가는 생태계 또는 인간의 건강에 미치는 영향 등을 고려하여 환경기준을 설정하여야 하며, 환경 여건의 변화에 따라 그 적정성이 유지되도록 하여야 한다.”라고 규정하고 있다. 2016. 1. 27. 법률 제13894호로 개정되기 전의 구 환경정책기본법 제12조 제1항이 “국가는 환경기준을 설정하여야 하며, 환경 여건의 변화에 따라 그 적정성이 유지되도록 하여야 한다.”라고 규정하였던 것에서 더 나아가 대통령령에서 환경기준을 설정할 때 고려하여야 할 주요사항으로 ‘생태계 또는 인간의 건강에 미치는 영향 등’을 명시함으로써 환경기준의 방향을 제시하고 환경기준을 종전보다 강화하여 국민건강을 보호하려는 것이 그 입법 취지이다.</w:t>
      </w:r>
      <w:r>
        <w:rPr>
          <w:rFonts w:ascii="맑은 고딕" w:hAnsi="맑은 고딕" w:eastAsia="맑은 고딕" w:cs="맑은 고딕"/>
          <w:color w:val="000000"/>
        </w:rPr>
        <w:br/>
      </w:r>
      <w:r>
        <w:rPr>
          <w:rFonts w:ascii="맑은 고딕" w:hAnsi="맑은 고딕" w:eastAsia="맑은 고딕" w:cs="맑은 고딕"/>
          <w:color w:val="000000"/>
        </w:rPr>
        <w:t xml:space="preserve">  나아가 환경정책기본법 제13조는 ‘환경기준의 유지’라는 제목으로 환경기준 유지를 위하여 고려해야 할 사항으로 ‘환경 악화의 예방 및 그 요인의 제거(제1호)’, ‘환경오염지역의 원상회복(제2호)’, ‘새로운 과학기술의 사용으로 인한 환경오염 및 환경훼손의 예방(제3호)’, ‘환경오염방지를 위한 재원의 적정 배분(제4호)’을 들고 있다. 여기서 ‘환경’에 …</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폐기물관리법 제1조, 제25조 제1항, 제2항 제4호, 환경정책기본법 제12조 제1항, 제13조, 행정소송법 제27조 / [2] 행정소송법 제26조[증명책임], 제27조, 폐기물관리법 제25조 제1항, 제2항</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#폐기물처리사업계획서 #대법원판례 #2023두35661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