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폐기물처리사업계획신청반려처분취소</w:t>
      </w:r>
    </w:p>
    <w:p>
      <w:pPr>
        <w:pStyle w:val="law1"/>
        <w:spacing w:after="160"/>
      </w:pPr>
      <w:r>
        <w:rPr>
          <w:rFonts w:ascii="맑은 고딕" w:hAnsi="맑은 고딕" w:eastAsia="맑은 고딕" w:cs="맑은 고딕"/>
          <w:color w:val="000000"/>
        </w:rPr>
        <w:t>대법원 2023두38745 (2023.07.27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2023두38745</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2023.07.27</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행정청이 폐기물처리사업계획서의 적합 여부를 판단하는 방법 및 폐기물처리사업계획서의 적합 여부 결정에 관하여 행정청에 광범위한 재량권이 인정되는지 여부(적극) / 법원이 적합 여부 결정과 관련한 행정청의 재량권 일탈·남용 여부를 심사하는 방법 / 장래에 발생할 불확실한 상황과 파급효과에 대한 예측이 필요한 요건에 관한 행정청의 재량적 판단은 폭넓게 존중되어야 하는지 여부(원칙적 적극)</w:t>
      </w:r>
      <w:r>
        <w:rPr>
          <w:rFonts w:ascii="맑은 고딕" w:hAnsi="맑은 고딕" w:eastAsia="맑은 고딕" w:cs="맑은 고딕"/>
          <w:color w:val="000000"/>
        </w:rPr>
        <w:br/>
      </w:r>
      <w:r>
        <w:rPr>
          <w:rFonts w:ascii="맑은 고딕" w:hAnsi="맑은 고딕" w:eastAsia="맑은 고딕" w:cs="맑은 고딕"/>
          <w:color w:val="000000"/>
        </w:rPr>
        <w:t>[2] 처분이 재량권을 일탈·남용했다는 사정에 관한 증명책임의 소재(=처분의 효력을 다투는 자) / 행정청이 처분서에 불확정개념으로 규정된 법령상 허가기준 등을 충족하지 못했다는 취지만 간략히 기재하여 폐기물처리사업계획서 반려 내지 부적합 통보를 한 경우, 이에 대한 취소소송절차에서 행정청이 구체적 불허가사유를 분명히 해야 하는지 여부(적극) 및 이 경우 원고는 구체적 불허가사유에 관한 판단과 근거에 재량권 일탈·남용의 위법을 밝히기 위해 소송절차에서 추가적인 주장과 자료를 제출할 필요가 있는지 여부(적극)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폐기물관리법은 폐기물의 발생을 최대한 억제하고 발생한 폐기물을 친환경적으로 처리함으로써 환경보전과 국민생활의 질적 향상에 이바지하는 것을 목적으로 한다(제1조). 이는 2010. 7. 23. 법률 제10389호로 개정되기 전의 구 폐기물관리법이 ‘폐기물을 적정하게 처리할 것’을 입법 목적으로 하던 것에서 더 나아가 ‘폐기물을 친환경적으로 처리할 것’까지 요구하는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이에 따라 폐기물처리업 중 지정폐기물(사업장폐기물 중 폐유·폐산 등 주변 환경을 오염시킬 수 있거나 의료폐기물 등 인체에 위해를 줄 수 있는 해로운 물질로서 대통령령으로 정하는 폐기물을 말한다. 폐기물관리법 제2조 제4호)이 아닌 경우에도, 폐기물의 수집·운반, 재활용 또는 처분을 업으로 하려는 사람은 허가신청에 앞서 사업의 개요와 시설·장비 설치내용 등을 기재한 ‘폐기물처리사업계획서’를 시·도지사에게 제출하여야 하고(제25조 제1항), 시·도지사는 제출된 폐기물처리사업계획서에 대하여 위 법상의 다른 요건들과 더불어 ‘폐기물처리시설의 설치·운영으로 수도법 제7조에 따른 상수원보호구역의 수질이 악화되거나 환경정책기본법 제12조에 따른 환경기준의 유지가 곤란하게 되는 등 사람의 건강이나 주변 환경에 영향을 미치는지 여부(제25조 제2항 제4호)’를 심사하여야 한다. 이는 2015. 1. 20. 법률 제13038호로 개정되기 전의 구 폐기물관리법 제25조 제2항 제4호가 심사기준으로 ‘폐기물처리시설의 설치·운영으로 사람의 건강이나 주변 환경에 영향을 미치는지 여부’라고만 규정하였던 것에서 더 나아가 ‘환경정책기본법상의 환경기준 유지 여부’를 구체적인 심사기준으로 명시한 것이다. 따라서 시·도지사는 폐기물처리사업계획서의 적합 여부를 판단함에 있어, 환경의 질적인 향상과 그 보전을 통한 쾌적한 환경의 조성 및 이를 통한 인간과 환경 간의 조화와 균형의 유지라는 환경정책기본법의 입법 취지와 환경정책기본법에 따라 설정된 환경기준도 고려하여야 한다.</w:t>
      </w:r>
      <w:r>
        <w:rPr>
          <w:rFonts w:ascii="맑은 고딕" w:hAnsi="맑은 고딕" w:eastAsia="맑은 고딕" w:cs="맑은 고딕"/>
          <w:color w:val="000000"/>
        </w:rPr>
        <w:br/>
      </w:r>
      <w:r>
        <w:rPr>
          <w:rFonts w:ascii="맑은 고딕" w:hAnsi="맑은 고딕" w:eastAsia="맑은 고딕" w:cs="맑은 고딕"/>
          <w:color w:val="000000"/>
        </w:rPr>
        <w:t>폐기물관리법 제25조 제2항 제4호가 인용하고 있는 환경정책기본법 제12조 제1항은 “국가는 생태계 또는 인간의 건강에 미치는 영향 등을 고려하여 환경기준을 설정하여야 하며, 환경 여건의 변화에 따라 그 적정성이 유지되도록 하여야 한다.”라고 규정하고 있다. 2016. 1. 27. 법률 제13894호로 개정되기 전의 구 환경정책기본법 제12조 제1항이 “국가는 환경기준을 설정하여야 하며, 환경 여건의 변화에 따라 그 적정성이 유지되도록 하여야 한다.”라고만 규정하였던 것에서 나아가 대통령령에서 환경기준을 설정할 때 고려하여야 할 주요사항으로 ‘생태계 또는 인간의 건강에 미치는 영향 등’을 명시함으로써 환경기준의 방향을 제시하고 환경기준을 종전보다 강화하여 국민건강을 보호하려는 것이 그 입법 취지이다.</w:t>
      </w:r>
      <w:r>
        <w:rPr>
          <w:rFonts w:ascii="맑은 고딕" w:hAnsi="맑은 고딕" w:eastAsia="맑은 고딕" w:cs="맑은 고딕"/>
          <w:color w:val="000000"/>
        </w:rPr>
        <w:br/>
      </w:r>
      <w:r>
        <w:rPr>
          <w:rFonts w:ascii="맑은 고딕" w:hAnsi="맑은 고딕" w:eastAsia="맑은 고딕" w:cs="맑은 고딕"/>
          <w:color w:val="000000"/>
        </w:rPr>
        <w:t xml:space="preserve">  그리고 환경정책기본법 제13조는 ‘환경기준의 유지’라는 제목으로 환경기준 유지를 위하여 고려해야 할 사항으로 ‘환경 악화의 예방 및 그 요인의 제거(제1호)’, ‘환경오염지역의 원상회복(제2호)’, ‘새로운 과학기술의 사용으로 인한 환경오염 및 환경훼손의 예방(제3호)’, ‘환경오염방지를 위한 재원의 적정 배분(제4호)’을 들고 있다. 여기서 ‘환경’에는 ‘생활환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폐기물관리법 제1조, 제25조 제1항, 제2항 제4호, 환경정책기본법 제12조 제1항, 제13조, 행정소송법 제27조 / [2] 행정소송법 제26조[증명책임], 제27조, 폐기물관리법 제25조 제1항, 제2항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#폐기물처리사업계획서 #대법원판례 #2023두38745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