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40"/>
      </w:pPr>
      <w:r>
        <w:rPr>
          <w:rFonts w:ascii="맑은 고딕" w:hAnsi="맑은 고딕" w:eastAsia="맑은 고딕"/>
          <w:b/>
          <w:color w:val="000000"/>
          <w:sz w:val="32"/>
        </w:rPr>
        <w:t>건설폐기물 처리업 변경신고 총정리</w:t>
      </w:r>
    </w:p>
    <w:p>
      <w:pPr>
        <w:pStyle w:val="law1"/>
      </w:pPr>
      <w:r>
        <w:rPr>
          <w:rFonts w:ascii="맑은 고딕" w:hAnsi="맑은 고딕" w:eastAsia="맑은 고딕"/>
          <w:color w:val="000000"/>
        </w:rPr>
        <w:t>건설폐기물의 재활용촉진에 관한 법률 제22조 제2항~제4항 · 시행규칙 제13조의2</w:t>
      </w:r>
    </w:p>
    <w:p>
      <w:pPr>
        <w:spacing w:after="200" w:line="348" w:lineRule="auto"/>
      </w:pPr>
      <w:r>
        <w:rPr>
          <w:rFonts w:ascii="맑은 고딕" w:hAnsi="맑은 고딕" w:eastAsia="맑은 고딕"/>
          <w:color w:val="000000"/>
          <w:sz w:val="20"/>
        </w:rPr>
        <w:t>건설폐기물 처리업 허가를 받은 자가 허가받은 사항 중 경미한 사항을 변경하는 경우에는 변경신고를 합니다(법 제22조 제2항). 변경신고 대상 경미한 사항과 신고 시기·방법을 정리합니다.</w:t>
      </w:r>
    </w:p>
    <w:p>
      <w:pPr>
        <w:pStyle w:val="2"/>
      </w:pPr>
      <w:r>
        <w:rPr>
          <w:rFonts w:ascii="맑은 고딕" w:hAnsi="맑은 고딕" w:eastAsia="맑은 고딕"/>
          <w:color w:val="000000"/>
        </w:rPr>
        <w:t>1. 변경신고 대상 및 시기</w:t>
      </w:r>
    </w:p>
    <w:p>
      <w:pPr>
        <w:spacing w:after="80"/>
      </w:pPr>
      <w:r>
        <w:rPr>
          <w:rFonts w:ascii="맑은 고딕" w:hAnsi="맑은 고딕" w:eastAsia="맑은 고딕"/>
          <w:color w:val="000000"/>
          <w:sz w:val="18"/>
        </w:rPr>
        <w:t>근거: 건설폐기물법 시행규칙 제13조의2 제1항·제2항</w:t>
      </w:r>
    </w:p>
    <w:tbl>
      <w:tblPr>
        <w:tblW w:w="5000" w:type="pct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900"/>
        <w:gridCol w:w="5760"/>
        <w:gridCol w:w="2340"/>
      </w:tblGrid>
      <w:tr>
        <w:trPr>
          <w:tblHeader w:val="true"/>
        </w:trPr>
        <w:tc>
          <w:tcPr>
            <w:tcW w:type="dxa" w:w="90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호</w:t>
            </w:r>
          </w:p>
        </w:tc>
        <w:tc>
          <w:tcPr>
            <w:tcW w:type="dxa" w:w="576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변경신고 대상 경미한 사항</w:t>
            </w:r>
          </w:p>
        </w:tc>
        <w:tc>
          <w:tcPr>
            <w:tcW w:type="dxa" w:w="234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신고 시기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제1호</w:t>
            </w:r>
          </w:p>
        </w:tc>
        <w:tc>
          <w:tcPr>
            <w:tcW w:type="dxa" w:w="57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상호의 변경 (권리·의무 승계에 따른 변경은 제외)</w:t>
            </w:r>
          </w:p>
        </w:tc>
        <w:tc>
          <w:tcPr>
            <w:tcW w:type="dxa" w:w="23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사유 발생일부터 30일 이내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제2호</w:t>
            </w:r>
          </w:p>
        </w:tc>
        <w:tc>
          <w:tcPr>
            <w:tcW w:type="dxa" w:w="57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대표자의 변경 (권리·의무 승계에 따른 변경은 제외)</w:t>
            </w:r>
          </w:p>
        </w:tc>
        <w:tc>
          <w:tcPr>
            <w:tcW w:type="dxa" w:w="23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사유 발생일부터 30일 이내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제3호</w:t>
            </w:r>
          </w:p>
        </w:tc>
        <w:tc>
          <w:tcPr>
            <w:tcW w:type="dxa" w:w="57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연락장소 또는 사무실 소재지의 변경</w:t>
            </w:r>
          </w:p>
        </w:tc>
        <w:tc>
          <w:tcPr>
            <w:tcW w:type="dxa" w:w="23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 전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제4호</w:t>
            </w:r>
          </w:p>
        </w:tc>
        <w:tc>
          <w:tcPr>
            <w:tcW w:type="dxa" w:w="57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운반차량의 감차 또는 교체 (임시차량 제외)</w:t>
            </w:r>
          </w:p>
        </w:tc>
        <w:tc>
          <w:tcPr>
            <w:tcW w:type="dxa" w:w="23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 전</w:t>
            </w:r>
          </w:p>
        </w:tc>
      </w:tr>
    </w:tbl>
    <w:p>
      <w:pPr>
        <w:spacing w:after="100"/>
      </w:pPr>
    </w:p>
    <w:p>
      <w:pPr>
        <w:pStyle w:val="2"/>
      </w:pPr>
      <w:r>
        <w:rPr>
          <w:rFonts w:ascii="맑은 고딕" w:hAnsi="맑은 고딕" w:eastAsia="맑은 고딕"/>
          <w:color w:val="000000"/>
        </w:rPr>
        <w:t>2. 신고 방법</w:t>
      </w:r>
    </w:p>
    <w:tbl>
      <w:tblPr>
        <w:tblW w:w="5000" w:type="pct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1800"/>
        <w:gridCol w:w="7200"/>
      </w:tblGrid>
      <w:tr>
        <w:trPr>
          <w:tblHeader w:val="true"/>
        </w:trPr>
        <w:tc>
          <w:tcPr>
            <w:tcW w:type="dxa" w:w="180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720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내용</w:t>
            </w:r>
          </w:p>
        </w:tc>
      </w:tr>
      <w:tr>
        <w:tc>
          <w:tcPr>
            <w:tcW w:type="dxa" w:w="18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신고서</w:t>
            </w:r>
          </w:p>
        </w:tc>
        <w:tc>
          <w:tcPr>
            <w:tcW w:type="dxa" w:w="720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별지 제11호의2서식 건설폐기물 처리업 변경신고서</w:t>
            </w:r>
          </w:p>
        </w:tc>
      </w:tr>
      <w:tr>
        <w:tc>
          <w:tcPr>
            <w:tcW w:type="dxa" w:w="18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첨부서류</w:t>
            </w:r>
          </w:p>
        </w:tc>
        <w:tc>
          <w:tcPr>
            <w:tcW w:type="dxa" w:w="720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허가증, 변경내용을 증명하는 서류</w:t>
            </w:r>
          </w:p>
        </w:tc>
      </w:tr>
      <w:tr>
        <w:tc>
          <w:tcPr>
            <w:tcW w:type="dxa" w:w="18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제출처</w:t>
            </w:r>
          </w:p>
        </w:tc>
        <w:tc>
          <w:tcPr>
            <w:tcW w:type="dxa" w:w="720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시·도지사</w:t>
            </w:r>
          </w:p>
        </w:tc>
      </w:tr>
      <w:tr>
        <w:tc>
          <w:tcPr>
            <w:tcW w:type="dxa" w:w="18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수리 통지</w:t>
            </w:r>
          </w:p>
        </w:tc>
        <w:tc>
          <w:tcPr>
            <w:tcW w:type="dxa" w:w="720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시·도지사는 신고를 받은 날부터 20일 이내에 수리 여부를 통지 (기간 내 통지가 없으면 그 다음 날에 수리한 것으로 봄)</w:t>
            </w:r>
          </w:p>
        </w:tc>
      </w:tr>
    </w:tbl>
    <w:p>
      <w:pPr>
        <w:spacing w:after="100"/>
      </w:pPr>
    </w:p>
    <w:p>
      <w:pPr>
        <w:pStyle w:val="2"/>
      </w:pPr>
      <w:r>
        <w:rPr>
          <w:rFonts w:ascii="맑은 고딕" w:hAnsi="맑은 고딕" w:eastAsia="맑은 고딕"/>
          <w:color w:val="000000"/>
        </w:rPr>
        <w:t>3. 위반 시 벌칙</w:t>
      </w:r>
    </w:p>
    <w:tbl>
      <w:tblPr>
        <w:tblW w:w="5000" w:type="pct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4140"/>
        <w:gridCol w:w="4860"/>
      </w:tblGrid>
      <w:tr>
        <w:trPr>
          <w:tblHeader w:val="true"/>
        </w:trPr>
        <w:tc>
          <w:tcPr>
            <w:tcW w:type="dxa" w:w="414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위반 행위</w:t>
            </w:r>
          </w:p>
        </w:tc>
        <w:tc>
          <w:tcPr>
            <w:tcW w:type="dxa" w:w="486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제재</w:t>
            </w:r>
          </w:p>
        </w:tc>
      </w:tr>
      <w:tr>
        <w:tc>
          <w:tcPr>
            <w:tcW w:type="dxa" w:w="414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변경신고를 하지 않고 신고사항을 변경</w:t>
            </w:r>
          </w:p>
        </w:tc>
        <w:tc>
          <w:tcPr>
            <w:tcW w:type="dxa" w:w="48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300만원 이하의 과태료 (법 제66조 제2항 제6호)</w:t>
            </w:r>
          </w:p>
        </w:tc>
      </w:tr>
    </w:tbl>
    <w:p>
      <w:pPr>
        <w:spacing w:after="100"/>
      </w:pPr>
    </w:p>
    <w:p>
      <w:pPr>
        <w:pStyle w:val="2"/>
      </w:pPr>
      <w:r>
        <w:rPr>
          <w:rFonts w:ascii="맑은 고딕" w:hAnsi="맑은 고딕" w:eastAsia="맑은 고딕"/>
          <w:color w:val="000000"/>
        </w:rPr>
        <w:t>4. 원문</w:t>
      </w:r>
    </w:p>
    <w:p>
      <w:pPr>
        <w:pStyle w:val="cite1"/>
        <w:spacing w:after="40" w:before="200"/>
      </w:pPr>
      <w:r>
        <w:rPr>
          <w:rFonts w:ascii="맑은 고딕" w:hAnsi="맑은 고딕" w:eastAsia="맑은 고딕"/>
          <w:color w:val="000000"/>
        </w:rPr>
        <w:t>건설폐기물의 재활용촉진에 관한 법률 제22조 제2항~제4항</w:t>
      </w:r>
    </w:p>
    <w:p>
      <w:pPr>
        <w:spacing w:after="120" w:line="348" w:lineRule="auto"/>
      </w:pPr>
      <w:r>
        <w:rPr>
          <w:rFonts w:ascii="맑은 고딕" w:hAnsi="맑은 고딕" w:eastAsia="맑은 고딕"/>
          <w:color w:val="000000"/>
          <w:sz w:val="18"/>
        </w:rPr>
        <w:t>② 제21조 제3항에 따른 허가를 받은 자가 허가받은 사항 중 기후에너지환경부령으로 정하는 경미한 사항을 변경하는 경우에는 변경신고를 하여야 한다.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③ 시·도지사는 제2항에 따른 변경신고를 받은 날부터 20일 이내에 신고수리 여부를 신고인에게 통지하여야 한다.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④ 시·도지사가 제3항에서 정한 기간 내에 신고수리 여부 또는 처리기간의 연장을 통지하지 아니하면 그 기간이 끝난 날의 다음 날에 신고를 수리한 것으로 본다.</w:t>
      </w:r>
    </w:p>
    <w:p>
      <w:pPr>
        <w:pStyle w:val="cite1"/>
        <w:spacing w:after="40" w:before="200"/>
      </w:pPr>
      <w:r>
        <w:rPr>
          <w:rFonts w:ascii="맑은 고딕" w:hAnsi="맑은 고딕" w:eastAsia="맑은 고딕"/>
          <w:color w:val="000000"/>
        </w:rPr>
        <w:t>같은 법 시행규칙 제13조의2 (건설폐기물 처리업의 변경신고)</w:t>
      </w:r>
    </w:p>
    <w:p>
      <w:pPr>
        <w:spacing w:after="120" w:line="348" w:lineRule="auto"/>
      </w:pPr>
      <w:r>
        <w:rPr>
          <w:rFonts w:ascii="맑은 고딕" w:hAnsi="맑은 고딕" w:eastAsia="맑은 고딕"/>
          <w:color w:val="000000"/>
          <w:sz w:val="18"/>
        </w:rPr>
        <w:t>① 법 제22조 제2항에서 '기후에너지환경부령으로 정하는 경미한 사항'이란 다음 각 호와 같다.  1. 상호의 변경(권리·의무 승계로 변경되는 경우는 제외)  2. 대표자의 변경(권리·의무 승계로 변경되는 경우는 제외)  3. 연락장소 또는 사무실 소재지의 변경  4. 운반차량의 감차 또는 교체(임시차량 제외)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② 변경신고하려는 자는 제1호·제2호의 경우에는 그 사유가 발생한 날부터 30일 이내에, 제3호·제4호의 경우에는 변경 전에 각각 별지 제11호의2서식의 변경신고서에 허가증과 변경내용을 증명하는 서류를 첨부하여 시·도지사에게 제출해야 한다.</w:t>
      </w:r>
    </w:p>
    <w:p>
      <w:pPr>
        <w:pStyle w:val="src"/>
      </w:pPr>
      <w:r>
        <w:rPr>
          <w:rFonts w:ascii="맑은 고딕" w:hAnsi="맑은 고딕" w:eastAsia="맑은 고딕"/>
          <w:color w:val="000000"/>
        </w:rPr>
        <w:t>기준 법령: 건설폐기물의 재활용촉진에 관한 법률·같은 법 시행규칙 (국가법령정보센터, 시행규칙 2026.6.22 기준).</w:t>
      </w:r>
    </w:p>
    <w:p>
      <w:pPr>
        <w:pStyle w:val="mark"/>
      </w:pPr>
      <w:r>
        <w:rPr>
          <w:rFonts w:ascii="맑은 고딕" w:hAnsi="맑은 고딕" w:eastAsia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