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 7. 27. 선고) · 폐기물처리사업계획신청반려처분취소</w:t>
      </w:r>
    </w:p>
    <w:p>
      <w:pPr>
        <w:autoSpaceDE w:val="0"/>
        <w:autoSpaceDN w:val="0"/>
        <w:spacing w:after="120"/>
      </w:pPr>
      <w:r>
        <w:rPr>
          <w:rFonts w:ascii="맑은 고딕" w:hAnsi="맑은 고딕" w:eastAsia="맑은 고딕" w:cs="맑은 고딕"/>
          <w:color w:val="000000"/>
        </w:rPr>
        <w:t>○ 행정청이 폐기물처리사업계획서를 반려·부적합 통보할 때의 재량 범위와, 그 취소소송에서의 심리·증명책임이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2023두35661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2023. 7. 27.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(폐기물처리사업계획신청반려처분취소)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대구고법 2022누4128 (2023. 2. 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원고가 폐합성수지를 선별·분쇄해 고형연료제품을 만드는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(2) 영천시장은 ‘인근 주민 동의서 미제출’만을 이유로 반려처분을 하였습니다.</w:t>
      </w:r>
    </w:p>
    <w:p>
      <w:pPr>
        <w:autoSpaceDE w:val="0"/>
        <w:autoSpaceDN w:val="0"/>
      </w:pPr>
    </w:p>
    <w:p>
      <w:pPr>
        <w:autoSpaceDE w:val="0"/>
        <w:autoSpaceDN w:val="0"/>
      </w:pPr>
      <w:r>
        <w:rPr>
          <w:rFonts w:ascii="맑은 고딕" w:hAnsi="맑은 고딕" w:eastAsia="맑은 고딕" w:cs="맑은 고딕"/>
          <w:color w:val="000000"/>
        </w:rPr>
        <w:t>(3) 소송 과정에서 행정청은 비산먼지·소음·진동·화재·교통 위험·환경오염 가중 등 주변 환경 영향을 구체적 사유로 제시하였습니다.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폐기물처리사업계획서 적합 여부 판단에 행정청의 재량이 어디까지 인정되며, 반려처분 취소소송에서 누가 무엇을 증명해야 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행정청이 절차적 사유(주민동의서 미제출)만으로 반려한 것은 비례원칙에 어긋나 위법.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적합 여부는 생활환경·자연환경 영향을 두루 검토하는 행정청의 광범위한 재량이고, 장래의 불확실한 상황 예측 판단은 폭넓게 존중된다. 재량 일탈·남용은 처분을 다투는 원고가 증명해야 하며, 처분서에 불확정개념만 간략히 적었더라도 소송에서 행정청이 구체적 사유를 제시하면 원고가 이를 반박할 자료를 내야 한다. 이를 심리하지 않고 위법으로 단정한 원심은 잘못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rPr>
        <w:t>① 폐기물처리사업계획서의 적합 여부는 생활환경과 자연환경에 미치는 영향을 두루 검토하는 것으로, 행정청에 광범위한 재량이 인정됩니다.</w:t>
      </w:r>
    </w:p>
    <w:p>
      <w:pPr>
        <w:autoSpaceDE w:val="0"/>
        <w:autoSpaceDN w:val="0"/>
      </w:pPr>
    </w:p>
    <w:p>
      <w:pPr>
        <w:autoSpaceDE w:val="0"/>
        <w:autoSpaceDN w:val="0"/>
      </w:pPr>
      <w:r>
        <w:rPr>
          <w:rFonts w:ascii="맑은 고딕" w:hAnsi="맑은 고딕" w:eastAsia="맑은 고딕" w:cs="맑은 고딕"/>
          <w:color w:val="000000"/>
          <w:u w:val="single"/>
        </w:rPr>
        <w:t>② 장래에 발생할 불확실한 상황과 파급효과에 대한 예측이 필요한 판단은 현저히 불합리하거나 형평·비례원칙에 뚜렷이 배치되지 않는 한 폭넓게 존중됩니다.</w:t>
      </w:r>
    </w:p>
    <w:p>
      <w:pPr>
        <w:autoSpaceDE w:val="0"/>
        <w:autoSpaceDN w:val="0"/>
      </w:pPr>
    </w:p>
    <w:p>
      <w:pPr>
        <w:autoSpaceDE w:val="0"/>
        <w:autoSpaceDN w:val="0"/>
      </w:pPr>
      <w:r>
        <w:rPr>
          <w:rFonts w:ascii="맑은 고딕" w:hAnsi="맑은 고딕" w:eastAsia="맑은 고딕" w:cs="맑은 고딕"/>
          <w:color w:val="000000"/>
          <w:u w:val="single"/>
        </w:rPr>
        <w:t>③ 재량권 일탈·남용은 처분의 효력을 다투는 자(원고)가 증명해야 하며, 처분서가 간략하면 행정청이 소송에서 구체적 사유를 밝히고 원고는 이를 반박할 자료를 제출해야 합니다.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600"/>
          </w:tcPr>
          <w:p>
            <w:pPr>
              <w:autoSpaceDE w:val="0"/>
              <w:autoSpaceDN w:val="0"/>
            </w:pPr>
            <w:r/>
            <w:r>
              <w:rPr>
                <w:rFonts w:ascii="맑은 고딕" w:hAnsi="맑은 고딕" w:eastAsia="맑은 고딕" w:cs="맑은 고딕"/>
                <w:b w:val="0"/>
                <w:color w:val="000000"/>
                <w:sz w:val="19"/>
              </w:rPr>
              <w:t xml:space="preserve">지정폐기물이 아닌 폐기물의 수집·운반·재활용·처분을 업으로 하려는 자는 </w:t>
            </w:r>
            <w:r>
              <w:rPr>
                <w:rFonts w:ascii="맑은 고딕" w:hAnsi="맑은 고딕" w:eastAsia="맑은 고딕" w:cs="맑은 고딕"/>
                <w:b w:val="0"/>
                <w:color w:val="000000"/>
                <w:sz w:val="19"/>
                <w:u w:val="single"/>
              </w:rPr>
              <w:t>허가신청에 앞서 폐기물처리사업계획서를 시·도지사에게 제출</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설치·운영으로 상수원보호구역 수질 악화, 환경정책기본법상 환경기준 유지 곤란 등 사람의 건강이나 주변 환경에 영향을 미치는지 여부</w:t>
            </w:r>
            <w:r>
              <w:rPr>
                <w:rFonts w:ascii="맑은 고딕" w:hAnsi="맑은 고딕" w:eastAsia="맑은 고딕" w:cs="맑은 고딕"/>
                <w:b w:val="0"/>
                <w:color w:val="000000"/>
                <w:sz w:val="19"/>
              </w:rPr>
              <w:t>를 심사한다.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제12조·제13조</w:t>
            </w:r>
          </w:p>
        </w:tc>
        <w:tc>
          <w:tcPr>
            <w:tcW w:type="pct" w:w="3600"/>
          </w:tcPr>
          <w:p>
            <w:pPr>
              <w:autoSpaceDE w:val="0"/>
              <w:autoSpaceDN w:val="0"/>
            </w:pPr>
            <w:r/>
            <w:r>
              <w:rPr>
                <w:rFonts w:ascii="맑은 고딕" w:hAnsi="맑은 고딕" w:eastAsia="맑은 고딕" w:cs="맑은 고딕"/>
                <w:b w:val="0"/>
                <w:color w:val="000000"/>
                <w:sz w:val="19"/>
              </w:rPr>
              <w:t xml:space="preserve">환경기준의 설정·유지. 적합 여부 판단 시 </w:t>
            </w:r>
            <w:r>
              <w:rPr>
                <w:rFonts w:ascii="맑은 고딕" w:hAnsi="맑은 고딕" w:eastAsia="맑은 고딕" w:cs="맑은 고딕"/>
                <w:b w:val="0"/>
                <w:color w:val="000000"/>
                <w:sz w:val="19"/>
                <w:u w:val="single"/>
              </w:rPr>
              <w:t>환경기준도 고려</w:t>
            </w:r>
            <w:r>
              <w:rPr>
                <w:rFonts w:ascii="맑은 고딕" w:hAnsi="맑은 고딕" w:eastAsia="맑은 고딕" w:cs="맑은 고딕"/>
                <w:b w:val="0"/>
                <w:color w:val="000000"/>
                <w:sz w:val="19"/>
              </w:rPr>
              <w:t>하여야 한다(행정청의 광범위한 재량).</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제26조·제27조</w:t>
            </w:r>
          </w:p>
        </w:tc>
        <w:tc>
          <w:tcPr>
            <w:tcW w:type="pct" w:w="3600"/>
          </w:tcPr>
          <w:p>
            <w:pPr>
              <w:autoSpaceDE w:val="0"/>
              <w:autoSpaceDN w:val="0"/>
            </w:pPr>
            <w:r/>
            <w:r>
              <w:rPr>
                <w:rFonts w:ascii="맑은 고딕" w:hAnsi="맑은 고딕" w:eastAsia="맑은 고딕" w:cs="맑은 고딕"/>
                <w:b w:val="0"/>
                <w:color w:val="000000"/>
                <w:sz w:val="19"/>
              </w:rPr>
              <w:t xml:space="preserve">재량행위 심사. </w:t>
            </w:r>
            <w:r>
              <w:rPr>
                <w:rFonts w:ascii="맑은 고딕" w:hAnsi="맑은 고딕" w:eastAsia="맑은 고딕" w:cs="맑은 고딕"/>
                <w:b w:val="0"/>
                <w:color w:val="000000"/>
                <w:sz w:val="19"/>
                <w:u w:val="single"/>
              </w:rPr>
              <w:t>재량권 일탈·남용은 그 처분의 효력을 다투는 자(원고)가 주장·증명</w:t>
            </w:r>
            <w:r>
              <w:rPr>
                <w:rFonts w:ascii="맑은 고딕" w:hAnsi="맑은 고딕" w:eastAsia="맑은 고딕" w:cs="맑은 고딕"/>
                <w:b w:val="0"/>
                <w:color w:val="000000"/>
                <w:sz w:val="19"/>
              </w:rPr>
              <w:t>하여야 한다.</w:t>
            </w:r>
          </w:p>
        </w:tc>
      </w:tr>
    </w:tbl>
    <w:p>
      <w:pPr>
        <w:pStyle w:val="2"/>
      </w:pPr>
      <w:r>
        <w:t>핵심 요약</w:t>
      </w:r>
    </w:p>
    <w:p>
      <w:pPr/>
      <w:r>
        <w:t>폐기물처리사업계획서의 적합 여부 판단에는 생활환경과 자연환경 영향을 두루 살피는 행정청의 광범위한 재량이 인정됩니다.</w:t>
      </w:r>
    </w:p>
    <w:p>
      <w:pPr/>
      <w:r>
        <w:t>처분서에 사유가 간략히 적혀 있어도 행정청은 소송에서 구체적 사유를 보충해 제시할 수 있습니다.</w:t>
      </w:r>
    </w:p>
    <w:p>
      <w:pPr/>
      <w:r>
        <w:t>재량권 일탈남용은 처분을 다투는 원고가 증명해야 하므로, 반려에 불복하려면 그 판단이 불합리함을 입증할 자료를 준비해야 합니다.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#폐기물처리사업계획서 #적합여부 #반려처분 #부적합통보 #행정청재량 #재량권일탈남용 #폐기물처리업허가 #환경정책기본법 #대법원판례 #2023두35661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