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 제1항</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위원회는 위원장과 부위원장 각 1명을 포함한 13명의 위원으로 구성한다. ② 위원회의 위원장을 포함한 9명의 위원은 변호사ㆍ교육자ㆍ학식과 덕망이 있는 사람 또는 시민단체(「비영리민간단체지원법」 제2조에 따른 비영리민간단체를 말한다)에서 추천한 사람 중에서, 부위원장을 포함한 4명의 위원은 헌법재판소 공무원 중에서 헌법재판소장이 위촉 또는 임명한다.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bl>
    <w:p>
      <w:pPr>
        <w:pStyle w:val="2"/>
      </w:pPr>
      <w:r>
        <w:t>핵심 요약</w:t>
      </w:r>
    </w:p>
    <w:p>
      <w:pPr/>
      <w:r>
        <w:t>폐기물관리법 양벌규정으로 대표자의 위반행위에 대해 법인을 처벌하는 것이 형벌의 자기책임원칙에 어긋나는지가 쟁점이었습니다.</w:t>
      </w:r>
    </w:p>
    <w:p>
      <w:pPr/>
      <w:r>
        <w:t>대법원은 법인 대표자의 위반행위에 대한 법인의 책임은 법인 자신의 직접책임이므로, 이를 근거로 한 형사처벌이 헌법에 위배되지 않는다고 보았습니다.</w:t>
      </w:r>
    </w:p>
    <w:p>
      <w:pPr/>
      <w:r>
        <w:t>대표자가 업무와 관련해 폐기물법을 위반하면 법인도 함께 벌금형 대상이 되므로, 대표자의 준법관리가 곧 법인의 책임임을 유념해야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