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이레환경 · 피고 부산광역시 강서구청장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b/>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시장ㆍ군수ㆍ구청장(자치구의 구청장을 말한다. 이하 같다)은 관할 구역의 폐기물의 배출 및 처리상황을 파악하여 폐기물이 적정하게 처리될 수 있도록 폐기물처리시설을 설치ㆍ운영하여야 하며, 폐기물의 처리방법의 개선 및 관계인의 자질 향상으로 폐기물 처리사업을 능률적으로 수행하는 한편, 주민과 사업자의 청소 의식 함양과 폐기물 발생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②특별시장ㆍ광역시장ㆍ도지사는 시장ㆍ군수ㆍ구청장이 제1항에 따른 책무를 충실하게 하도록 기술적ㆍ재정적 지원을 하고, 그 관할 구역의 폐기물 처리사업에 대한 조정을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 제2항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시장ㆍ군수ㆍ구청장은 관할 구역에서 배출되는 생활폐기물을 처리하여야 한다. 다만, 기후에너지환경부령으로 정하는 바에 따라 특별자치시장, 특별자치도지사, 시장ㆍ군수ㆍ구청장이 지정하는 지역은 제외한다.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제4항</w:t>
            </w:r>
          </w:p>
        </w:tc>
        <w:tc>
          <w:tcPr>
            <w:tcW w:type="pct" w:w="3500"/>
          </w:tcPr>
          <w:p>
            <w:pPr>
              <w:autoSpaceDE w:val="0"/>
              <w:autoSpaceDN w:val="0"/>
            </w:pPr>
            <w:r/>
            <w:r>
              <w:rPr>
                <w:rFonts w:ascii="맑은 고딕" w:hAnsi="맑은 고딕" w:eastAsia="맑은 고딕" w:cs="맑은 고딕"/>
                <w:b w:val="0"/>
                <w:color w:val="000000"/>
                <w:sz w:val="19"/>
              </w:rPr>
              <w:t>④ 기후에너지환경부장관 또는 시ㆍ도지사는 천재지변이나 그 밖의 부득이한 사유로 제3항의 기간 내에 허가신청을 하지 못한 자에 대하여는 신청에 따라 총 연장기간 1년(제5항제1호에 따른 폐기물 수집ㆍ운반업의 경우에는 총 연장기간 6개월, 같은 항 제3호에 따른 폐기물 최종처분업과 같은 항 제4호에 따른 폐기물 종합처분업의 경우에는 총 연장기간 2년)의 범위에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제1항</w:t>
            </w:r>
          </w:p>
        </w:tc>
        <w:tc>
          <w:tcPr>
            <w:tcW w:type="pct" w:w="3500"/>
          </w:tcPr>
          <w:p>
            <w:pPr>
              <w:autoSpaceDE w:val="0"/>
              <w:autoSpaceDN w:val="0"/>
            </w:pPr>
            <w:r/>
            <w:r>
              <w:rPr>
                <w:rFonts w:ascii="맑은 고딕" w:hAnsi="맑은 고딕" w:eastAsia="맑은 고딕" w:cs="맑은 고딕"/>
                <w:b w:val="0"/>
                <w:color w:val="000000"/>
                <w:sz w:val="19"/>
              </w:rPr>
              <w:t>① 법 제25조제1항에 따라 폐기물처리업을 하려는 자는 별지 제17호서식의 폐기물처리 사업계획서에 다음 각 호의 구분에 따른 서류를 첨부하여 폐기물 중간처분시설 및 최종처분시설(이하 "폐기물 처분시설"이라 한다) 또는 재활용시설 설치예정지(지정폐기물 수집ㆍ운반업의 경우에는 주차장 소재지, 지정폐기물 외 폐기물 수집ㆍ운반업의 경우에는 연락장소 또는 사무실 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제2항</w:t>
            </w:r>
          </w:p>
        </w:tc>
        <w:tc>
          <w:tcPr>
            <w:tcW w:type="pct" w:w="3500"/>
          </w:tcPr>
          <w:p>
            <w:pPr>
              <w:autoSpaceDE w:val="0"/>
              <w:autoSpaceDN w:val="0"/>
            </w:pPr>
            <w:r/>
            <w:r>
              <w:rPr>
                <w:rFonts w:ascii="맑은 고딕" w:hAnsi="맑은 고딕" w:eastAsia="맑은 고딕" w:cs="맑은 고딕"/>
                <w:b w:val="0"/>
                <w:color w:val="000000"/>
                <w:sz w:val="19"/>
              </w:rPr>
              <w:t>② 1개의 폐기물 처분시설 또는 재활용시설에 대하여 2개 이상의 사업자로 나누어 법 제25조에 따른 폐기물처리업허가를 신청하거나, 법 제29조에 따른 폐기물 처분시설 또는 재활용시설 설치 승인 또는 신고를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제3항</w:t>
            </w:r>
          </w:p>
        </w:tc>
        <w:tc>
          <w:tcPr>
            <w:tcW w:type="pct" w:w="3500"/>
          </w:tcPr>
          <w:p>
            <w:pPr>
              <w:autoSpaceDE w:val="0"/>
              <w:autoSpaceDN w:val="0"/>
            </w:pPr>
            <w:r/>
            <w:r>
              <w:rPr>
                <w:rFonts w:ascii="맑은 고딕" w:hAnsi="맑은 고딕" w:eastAsia="맑은 고딕" w:cs="맑은 고딕"/>
                <w:b w:val="0"/>
                <w:color w:val="000000"/>
                <w:sz w:val="19"/>
              </w:rPr>
              <w:t>③ 법 제25조제1항 후단에서 "기후에너지환경부령으로 정하는 중요 사항"이란 다음 각 호의 구분에 따른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제5항</w:t>
            </w:r>
          </w:p>
        </w:tc>
        <w:tc>
          <w:tcPr>
            <w:tcW w:type="pct" w:w="3500"/>
          </w:tcPr>
          <w:p>
            <w:pPr>
              <w:autoSpaceDE w:val="0"/>
              <w:autoSpaceDN w:val="0"/>
            </w:pPr>
            <w:r/>
            <w:r>
              <w:rPr>
                <w:rFonts w:ascii="맑은 고딕" w:hAnsi="맑은 고딕" w:eastAsia="맑은 고딕" w:cs="맑은 고딕"/>
                <w:b w:val="0"/>
                <w:color w:val="000000"/>
                <w:sz w:val="19"/>
              </w:rPr>
              <w:t>⑤ 시ㆍ도지사나 지방환경관서의 장은 법 제25조제1항 및 제2항에 따른 절차를 거치지 아니한 자에 대하여 제4항에 따른 허가를 하려는 경우에는 법 제25조제2항 각 호의 사항을 검토하여야 한다.</w:t>
            </w:r>
          </w:p>
        </w:tc>
      </w:tr>
    </w:tbl>
    <w:p>
      <w:pPr>
        <w:pStyle w:val="2"/>
      </w:pPr>
      <w:r>
        <w:t>핵심 요약</w:t>
      </w:r>
    </w:p>
    <w:p>
      <w:pPr/>
      <w:r>
        <w:t>생활폐기물 수집·운반업 사업계획서에 대해 기존 업체의 인력과 장비로 충분하다는 이유로 부적합 통보를 한 것이 적법한지가 쟁점이었습니다.</w:t>
      </w:r>
    </w:p>
    <w:p>
      <w:pPr/>
      <w:r>
        <w:t>대법원은 법이 열거한 사유 외에 공익상 사유로도 부적합 통보를 할 수 있지만, 단지 기존 업체만으로 지장이 없다는 이유로 거부하는 것은 사실상 업체 수를 제한하는 것이어서 재량을 일탈·남용한 위법한 처분이라고 본 원심을 수긍했습니다.</w:t>
      </w:r>
    </w:p>
    <w:p>
      <w:pPr/>
      <w:r>
        <w:t>신규 허가를 막으려면 과당경쟁 등으로 책임행정이 불가능해질 특별한 사정을 구체적으로 입증해야 하며, 막연히 기존 업체로 충분하다는 사유만으로는 거부가 정당화되지 않습니다.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