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u w:val="single"/>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u w:val="single"/>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u w:val="single"/>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2"/>
      </w:pPr>
      <w:r>
        <w:t>핵심 요약</w:t>
      </w:r>
    </w:p>
    <w:p>
      <w:pPr/>
      <w:r>
        <w:t>공동주택·택지 개발자가 처리시설을 직접 설치하는 대신 설치부담금을 낼 때, 시설부지가 아직 정해지지 않았다면 사업지구 안에 직접 설치할 경우의 비용에 맞춰 부담금을 산정합니다.</w:t>
      </w:r>
    </w:p>
    <w:p>
      <w:pPr/>
      <w:r>
        <w:t>부지매입비의 'm2당 조성원가'는 해당 택지개발지구의 택지조성원가를 의미합니다.</w:t>
      </w:r>
    </w:p>
    <w:p>
      <w:pPr/>
      <w:r>
        <w:t>또한 주변영향지역에 주민이 거주하지 않더라도 주민지원기금 출연의무 자체가 없어지는 것은 아니라고 판단했습니다.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