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진주환경 유한회사 외 2인 · 피고 진주시</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b/>
          <w:color w:val="000000"/>
          <w:u w:val="single"/>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2"/>
      </w:pPr>
      <w:r>
        <w:t>핵심 요약</w:t>
      </w:r>
    </w:p>
    <w:p>
      <w:pPr/>
      <w:r>
        <w:t>지방자치단체가 맺는 공공계약은 사경제 주체로서 대등하게 체결하는 사법상 계약이므로, 사적 자치와 계약자유의 원칙이 적용됩니다.</w:t>
      </w:r>
    </w:p>
    <w:p>
      <w:pPr/>
      <w:r>
        <w:t>대법원은 대행 용역비 사후정산·차액반환 특약이 계약상대방에게 다소 불리하더라도 이익을 부당하게 제한하는 특약이 아니면 유효하다고 보았습니다.</w:t>
      </w:r>
    </w:p>
    <w:p>
      <w:pPr/>
      <w:r>
        <w:t>실무상 지자체와 협의를 거쳐 넣은 정산조항은 그 문언대로 반납의무를 지게 되므로 계약 내용을 꼼꼼히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