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강남구청장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 ② 간사는 헌법재판소사무처 기획재정국장이 되며, 사무직원은 제14조의 담당직원이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법 제6조제1항 후단에 따라 다음 각 호의 어느 하나에 해당하는 경우에는 지하에 폐기물처리시설을 설치해야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bl>
    <w:p>
      <w:pPr>
        <w:pStyle w:val="2"/>
      </w:pPr>
      <w:r>
        <w:t>핵심 요약</w:t>
      </w:r>
    </w:p>
    <w:p>
      <w:pPr/>
      <w:r>
        <w:t>폐기물처리시설 설치비용 부담금 조례가 명확성 원칙에 어긋나는지가 쟁점이었으나, 대법원은 관련 법령의 취지와 체계로 의미가 분명해질 수 있으면 명확성 위반이 아니라고 보았습니다.</w:t>
      </w:r>
    </w:p>
    <w:p>
      <w:pPr/>
      <w:r>
        <w:t>사업시행자의 납부계획서에 적힌 택지조성원가를 기준으로 부지매입비를 산정한 것은 원칙적으로 적법하다고 판단했습니다.</w:t>
      </w:r>
    </w:p>
    <w:p>
      <w:pPr/>
      <w:r>
        <w:t>납부계획서 제출 시점에 완공된 수도권 지역 시설의 톤당 평균 설치비용으로 설치비를 산정한 것도 원칙적으로 위법하지 않다고 보았습니다.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