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올바로시스템 입력정보는 ‘공전자기록’이 아닙니다 (건설폐기물)</w:t>
      </w:r>
    </w:p>
    <w:p>
      <w:pPr>
        <w:pStyle w:val="law1"/>
        <w:autoSpaceDE w:val="0"/>
        <w:autoSpaceDN w:val="0"/>
        <w:spacing w:after="160"/>
      </w:pPr>
      <w:r>
        <w:rPr>
          <w:rFonts w:ascii="맑은 고딕" w:hAnsi="맑은 고딕" w:eastAsia="맑은 고딕" w:cs="맑은 고딕"/>
          <w:color w:val="000000"/>
        </w:rPr>
        <w:t>대법원 2016도19170 (2020.03.12 선고)</w:t>
      </w:r>
    </w:p>
    <w:p>
      <w:pPr>
        <w:autoSpaceDE w:val="0"/>
        <w:autoSpaceDN w:val="0"/>
        <w:spacing w:after="120"/>
      </w:pPr>
      <w:r>
        <w:rPr>
          <w:rFonts w:ascii="맑은 고딕" w:hAnsi="맑은 고딕" w:eastAsia="맑은 고딕" w:cs="맑은 고딕"/>
          <w:color w:val="000000"/>
        </w:rPr>
        <w:t>○ 한국환경공단이 위탁받아 운영하는 올바로시스템의 전자기록이 형법상 공전자기록에 해당하는지가 문제된 사건입니다. 대법원은 공단 임직원을 공무원, 공단을 공무소로 볼 수 없어 공전자기록이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한국환경공단이 운영하는 올바로시스템의 전자기록이 형법상 ‘공전자기록’인가요?</w:t>
            </w:r>
          </w:p>
          <w:p>
            <w:pPr>
              <w:autoSpaceDE w:val="0"/>
              <w:autoSpaceDN w:val="0"/>
            </w:pPr>
            <w:r>
              <w:rPr>
                <w:rFonts w:ascii="맑은 고딕" w:hAnsi="맑은 고딕" w:eastAsia="맑은 고딕" w:cs="맑은 고딕"/>
                <w:b w:val="0"/>
                <w:color w:val="000000"/>
                <w:sz w:val="19"/>
              </w:rPr>
              <w:t>A. 아니요. 공단 임직원을 공무원으로, 공단을 공무소로 볼 수 없으므로 그 전자기록은 공전자기록이 아닙니다.</w:t>
            </w:r>
          </w:p>
          <w:p>
            <w:pPr>
              <w:autoSpaceDE w:val="0"/>
              <w:autoSpaceDN w:val="0"/>
            </w:pPr>
          </w:p>
          <w:p>
            <w:pPr>
              <w:autoSpaceDE w:val="0"/>
              <w:autoSpaceDN w:val="0"/>
            </w:pPr>
            <w:r>
              <w:rPr>
                <w:rFonts w:ascii="맑은 고딕" w:hAnsi="맑은 고딕" w:eastAsia="맑은 고딕" w:cs="맑은 고딕"/>
                <w:b/>
                <w:color w:val="000000"/>
                <w:sz w:val="19"/>
              </w:rPr>
              <w:t>Q. 공단 임직원을 다른 법에서 공무원으로 의제한다면 공전자기록위작죄도 성립하나요?</w:t>
            </w:r>
          </w:p>
          <w:p>
            <w:pPr>
              <w:autoSpaceDE w:val="0"/>
              <w:autoSpaceDN w:val="0"/>
            </w:pPr>
            <w:r>
              <w:rPr>
                <w:rFonts w:ascii="맑은 고딕" w:hAnsi="맑은 고딕" w:eastAsia="맑은 고딕" w:cs="맑은 고딕"/>
                <w:b w:val="0"/>
                <w:color w:val="000000"/>
                <w:sz w:val="19"/>
              </w:rPr>
              <w:t>A. 아니요. 뇌물 등 특정 조항 적용을 위한 의제일 뿐이어서, 이를 근거로 공전자기록위작죄를 인정하는 것은 죄형법정주의에 반합니다.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2016도19170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2020.03.12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형법 제227조의2(공전자기록위작·변작)에 규정된 ‘공무원’, ‘공무소’, ‘공무원 또는 공무소의 전자기록’의 의미 / 공무원 또는 공무소가 아닌 행위주체가 계약 등에 의하여 공무와 관련되는 업무를 일부 대행하는 경우, 위 조항의 ‘공무원 또는 공무소’가 될 수 있는지 여부(원칙적 소극)</w:t>
      </w:r>
      <w:r>
        <w:rPr>
          <w:rFonts w:ascii="맑은 고딕" w:hAnsi="맑은 고딕" w:eastAsia="맑은 고딕" w:cs="맑은 고딕"/>
          <w:color w:val="000000"/>
        </w:rPr>
        <w:br/>
      </w:r>
      <w:r>
        <w:rPr>
          <w:rFonts w:ascii="맑은 고딕" w:hAnsi="맑은 고딕" w:eastAsia="맑은 고딕" w:cs="맑은 고딕"/>
          <w:color w:val="000000"/>
          <w:u w:val="single"/>
        </w:rPr>
        <w:t>[2] 한국환경공단이 환경부장관의 위탁을 받아 건설폐기물 인계·인수에 관한 내용 등의 전산처리를 위한 전자정보처리프로그램인 올바로시스템을 구축·운영하고 있는 경우, 그 업무를 수행하는 한국환경공단 임직원을 공전자기록의 작성권한자인 공무원으로 보거나 한국환경공단을 공무소로 볼 수 있는지 여부(소극) /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죄형법정주의 원칙에 반하는지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피고인에 대한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형법 제227조의2(공전자기록위작·변작)는 “사무처리를 그르치게 할 목적으로 공무원 또는 공무소의 전자기록 등 특수매체기록을 위작 또는 변작한 자는 10년 이하의 징역에 처한다.”라고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여기에서 ‘공무원’이란 원칙적으로 법령에 의해 공무원의 지위를 가지는 자를 말하고, ‘공무소’란 공무원이 직무를 행하는 관청 또는 기관을 말하며, ‘공무원 또는 공무소의 전자기록’은 공무원 또는 공무소가 그 직무상 작성할 권한을 가지는 전자기록을 말한다.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형벌법규의 구성요건인 공무원 또는 공무소를 법률의 규정도 없이 확장해석하거나 유추해석하는 것은 죄형법정주의 원칙에 반하기 때문이다(대법원 2016. 1. 14. 선고 2015도9133 판결, 대법원 2016. 4. 15. 선고 2015도9772 판결 등 참조). 건설폐기물법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한편 폐기물관리법 제62조 제2항, 같은 법 시행령 제37조의2는 폐기물의 인계·인수 내용들을 관리할 수 있는 전산처리기구의 설치·운영 업무 및 전자정보처리프로그램의 구축·운영 업무를 한국환경공단에 위탁한다고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⑩ 이러한 관련 법령을 앞서 본 법리에 비추어 살펴보면, 한국환경공단이 환경부장관의 위탁을 받아 건설폐기물 인계·인수에 관한 내용 등의 전산처리를 위한 전자정보처리프로그램인 올바로시스템을 구축·운영하고 있다고 하더라도, 그 업무를 수행하는 한국환경공단 임직원을 공전자기록의 작성권한자인 공무원으로 보거나 한국환경공단을 공무소로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이는 한국환경공단 또는 그 임직원이 환경부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형법 제227조의2(공전자기록위작·변작)는 “사무처리를 그르치게 할 목적으로 공무원 또는 공무소의 전자기록 등 특수매체기록을 위작 또는 변작한 자는 10년 이하의 징역에 처한다.”라고 규정하고 있다. 여기에서 ‘공무원’이란 원칙적으로 법령에 의해 공무원의 지위를 가지는 자를 말하고, ‘공무소’란 공무원이 직무를 행하는 관청 또는 기관을 말하며, ‘공무원 또는 공무소의 전자기록’은 공무원 또는 공무소가 직무상 작성할 권한을 가지는 전자기록을 말한다.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 형벌법규의 구성요건인 공무원 또는 공무소를 법률의 규정도 없이 확장해석하거나 유추해석하는 것은 죄형법정주의 원칙에 반하기 때문이다.</w:t>
      </w:r>
      <w:r>
        <w:rPr>
          <w:rFonts w:ascii="맑은 고딕" w:hAnsi="맑은 고딕" w:eastAsia="맑은 고딕" w:cs="맑은 고딕"/>
          <w:color w:val="000000"/>
        </w:rPr>
        <w:br/>
      </w:r>
      <w:r>
        <w:rPr>
          <w:rFonts w:ascii="맑은 고딕" w:hAnsi="맑은 고딕" w:eastAsia="맑은 고딕" w:cs="맑은 고딕"/>
          <w:b/>
          <w:color w:val="000000"/>
          <w:u w:val="single"/>
        </w:rPr>
        <w:t>[2] 건설폐기물의 재활용촉진에 관한 법률(이하 ‘건설폐기물법’이라고 한다)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 한편 폐기물관리법 제62조 제2항, 폐기물관리법 시행령 제37조의2는 폐기물의 인계·인수 내용들을 관리할 수 있는 전산처리기구의 설치·운영 업무 및 전자정보처리프로그램의 구축·운영 업무를 한국환경공단에 위탁한다고 규정하고 있다.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이러한 관련 법령을 법리에 비추어 살펴보면, 한국환경공단이 환경부장관의 위탁을 받아 건설폐기물 인계·인수에 관한 내용 등의 전산처리를 위한 전자정보처리프로그램인 올바로시스템을 구축·운영하고 있더라도, 그 업무를 수행하는 한국환경공단 임직원을 공전자기록의 작성권한자인 공무원으로 보거나 한국환경공단을 공무소로 볼 수는 없다.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 이는 한국환경공단 또는 그 임직원이 환경부장관으로부터 위탁받은 업무와 관련하여 직무상 작성한 문서를 공문서로 볼 수 없는 것과 마찬가지이다.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제227조의2</w:t>
            </w:r>
          </w:p>
        </w:tc>
        <w:tc>
          <w:tcPr>
            <w:tcW w:type="pct" w:w="3500"/>
          </w:tcPr>
          <w:p>
            <w:pPr>
              <w:autoSpaceDE w:val="0"/>
              <w:autoSpaceDN w:val="0"/>
            </w:pPr>
            <w:r/>
            <w:r>
              <w:rPr>
                <w:rFonts w:ascii="맑은 고딕" w:hAnsi="맑은 고딕" w:eastAsia="맑은 고딕" w:cs="맑은 고딕"/>
                <w:b w:val="0"/>
                <w:color w:val="000000"/>
                <w:sz w:val="19"/>
              </w:rPr>
              <w:t>사무처리를 그르치게 할 목적으로 공무원 또는 공무소의 전자기록등 특수매체기록을 위작 또는 변작한 자는 10년 이하의 징역에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제129조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그 직무에 관하여 뇌물을 수수, 요구 또는 약속한 때에는 5년 이하의 징역 또는 10년 이하의 자격정지에 처한다. ②공무원 또는 중재인이 될 자가 그 담당할 직무에 관하여 청탁을 받고 뇌물을 수수, 요구 또는 약속한 후 공무원 또는 중재인이 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제130조</w:t>
            </w:r>
          </w:p>
        </w:tc>
        <w:tc>
          <w:tcPr>
            <w:tcW w:type="pct" w:w="3500"/>
          </w:tcPr>
          <w:p>
            <w:pPr>
              <w:autoSpaceDE w:val="0"/>
              <w:autoSpaceDN w:val="0"/>
            </w:pPr>
            <w:r/>
            <w:r>
              <w:rPr>
                <w:rFonts w:ascii="맑은 고딕" w:hAnsi="맑은 고딕" w:eastAsia="맑은 고딕" w:cs="맑은 고딕"/>
                <w:b w:val="0"/>
                <w:color w:val="000000"/>
                <w:sz w:val="19"/>
              </w:rPr>
              <w:t>공무원 또는 중재인이 그 직무에 관하여 부정한 청탁을 받고 제3자에게 뇌물을 공여하게 하거나 공여를 요구 또는 약속한 때에는 5년 이하의 징역 또는 10년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제131조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전2조의 죄를 범하여 부정한 행위를 한 때에는 1년 이상의 유기징역에 처한다. ②공무원 또는 중재인이 그 직무상 부정한 행위를 한 후 뇌물을 수수, 요구 또는 약속하거나 제삼자에게 이를 공여하게 하거나 공여를 요구 또는 약속한 때에도 전항의 형과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제132조</w:t>
            </w:r>
          </w:p>
        </w:tc>
        <w:tc>
          <w:tcPr>
            <w:tcW w:type="pct" w:w="3500"/>
          </w:tcPr>
          <w:p>
            <w:pPr>
              <w:autoSpaceDE w:val="0"/>
              <w:autoSpaceDN w:val="0"/>
            </w:pPr>
            <w:r/>
            <w:r>
              <w:rPr>
                <w:rFonts w:ascii="맑은 고딕" w:hAnsi="맑은 고딕" w:eastAsia="맑은 고딕" w:cs="맑은 고딕"/>
                <w:b w:val="0"/>
                <w:color w:val="000000"/>
                <w:sz w:val="19"/>
              </w:rPr>
              <w:t>공무원이 그 지위를 이용하여 다른 공무원의 직무에 속한 사항의 알선에 관하여 뇌물을 수수, 요구 또는 약속한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w:t>
            </w:r>
          </w:p>
        </w:tc>
        <w:tc>
          <w:tcPr>
            <w:tcW w:type="pct" w:w="3500"/>
          </w:tcPr>
          <w:p>
            <w:pPr>
              <w:autoSpaceDE w:val="0"/>
              <w:autoSpaceDN w:val="0"/>
            </w:pPr>
            <w:r/>
            <w:r>
              <w:rPr>
                <w:rFonts w:ascii="맑은 고딕" w:hAnsi="맑은 고딕" w:eastAsia="맑은 고딕" w:cs="맑은 고딕"/>
                <w:b w:val="0"/>
                <w:color w:val="000000"/>
                <w:sz w:val="19"/>
              </w:rPr>
              <w:t>① 건설폐기물을 배출, 수집ㆍ운반 또는 처리를 하는 자는 건설폐기물을 배출, 수집ㆍ운반 또는 처리를 할 때마다 건설폐기물의 인계ㆍ인수에 관한 내용을 제19조제1항에 따른 전자정보처리프로그램에 입력하여야 한다. 다만, 소량의 건설폐기물을 배출하는 등 기후에너지환경부령으로 정하는 경우에는 건설폐기물 간이인계서의 작성으로 갈음할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건설폐기물의 인계ㆍ인수에 관한 정보(이하 "전산정보"라 한다)를 처리할 수 있는 전자정보처리프로그램(이하 "전자정보처리프로그램"이라 한다)을 구축ㆍ운영하여야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t>제58조제2항에 따라 위탁받은 업무에 종사하는 자는 「형법」 제129조부터 제132조까지의 규정을 적용할 때에는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기후에너지환경부령으로 정하는 사업장폐기물을 배출, 수집ㆍ운반, 재활용 또는 처분하는 자는 그 폐기물을 배출, 수집ㆍ운반, 재활용 또는 처분할 때마다 폐기물의 인계ㆍ인수에 관한 사항과 계량값, 위치정보, 영상정보 등 기후에너지환경부령으로 정하는 폐기물 처리 현장정보(이하 "폐기물처리현장정보"라 한다)를 기후에너지환경부령으로 정하는 바에 따라 제45조제2항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제45조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다음 각 호의 내용과 기록(이하 "전산기록"이라 한다)을 관리할 수 있는 전산처리기구(이하 "전산처리기구"라 한다)를 설치ㆍ운영하여야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 제2항</w:t>
            </w:r>
          </w:p>
        </w:tc>
        <w:tc>
          <w:tcPr>
            <w:tcW w:type="pct" w:w="3500"/>
          </w:tcPr>
          <w:p>
            <w:pPr>
              <w:autoSpaceDE w:val="0"/>
              <w:autoSpaceDN w:val="0"/>
            </w:pPr>
            <w:r/>
            <w:r>
              <w:rPr>
                <w:rFonts w:ascii="맑은 고딕" w:hAnsi="맑은 고딕" w:eastAsia="맑은 고딕" w:cs="맑은 고딕"/>
                <w:b w:val="0"/>
                <w:color w:val="000000"/>
                <w:sz w:val="19"/>
              </w:rPr>
              <w:t>② 이 법에 따른 기후에너지환경부장관 또는 지방자치단체의 장의 업무는 대통령령으로 정하는 바에 따라 그 일부를 한국환경공단, 협회 등 관련 전문기관에 위탁할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제62조의2</w:t>
            </w:r>
          </w:p>
        </w:tc>
        <w:tc>
          <w:tcPr>
            <w:tcW w:type="pct" w:w="3500"/>
          </w:tcPr>
          <w:p>
            <w:pPr>
              <w:autoSpaceDE w:val="0"/>
              <w:autoSpaceDN w:val="0"/>
            </w:pPr>
            <w:r/>
            <w:r>
              <w:rPr>
                <w:rFonts w:ascii="맑은 고딕" w:hAnsi="맑은 고딕" w:eastAsia="맑은 고딕" w:cs="맑은 고딕"/>
                <w:b w:val="0"/>
                <w:color w:val="000000"/>
                <w:sz w:val="19"/>
              </w:rPr>
              <w:t>제62조제2항 또는 제3항에 따라 위탁받은 업무를 하는 사람 중 공무원이 아닌 사람은 「형법」 제129조부터 제132조까지의 규정에 따른 벌칙을 적용하는 경우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제37조의2</w:t>
            </w:r>
          </w:p>
        </w:tc>
        <w:tc>
          <w:tcPr>
            <w:tcW w:type="pct" w:w="3500"/>
          </w:tcPr>
          <w:p>
            <w:pPr>
              <w:autoSpaceDE w:val="0"/>
              <w:autoSpaceDN w:val="0"/>
            </w:pPr>
            <w:r/>
            <w:r>
              <w:rPr>
                <w:rFonts w:ascii="맑은 고딕" w:hAnsi="맑은 고딕" w:eastAsia="맑은 고딕" w:cs="맑은 고딕"/>
                <w:b w:val="0"/>
                <w:color w:val="000000"/>
                <w:sz w:val="19"/>
              </w:rPr>
              <w:t>① 법 제62조제2항에 따라 기후에너지환경부장관은 다음 각 호의 업무를 한국환경공단에 위탁한다. ② 기후에너지환경부장관은 법 제62조제2항에 따라 법 제14조의5제1항에 따른 실태조사 업무를 협회에 위탁한다.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한국환경공단법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w:t>
            </w:r>
          </w:p>
        </w:tc>
        <w:tc>
          <w:tcPr>
            <w:tcW w:type="pct" w:w="3500"/>
          </w:tcPr>
          <w:p>
            <w:pPr>
              <w:autoSpaceDE w:val="0"/>
              <w:autoSpaceDN w:val="0"/>
            </w:pPr>
            <w:r/>
            <w:r>
              <w:rPr>
                <w:rFonts w:ascii="맑은 고딕" w:hAnsi="맑은 고딕" w:eastAsia="맑은 고딕" w:cs="맑은 고딕"/>
                <w:b w:val="0"/>
                <w:color w:val="000000"/>
                <w:sz w:val="19"/>
              </w:rPr>
              <w:t>공단의 임원 및 직원은 「형법」제129조부터 제132조까지의 규정을 적용할 때에는 공무원으로 본다.</w:t>
            </w:r>
          </w:p>
        </w:tc>
      </w:tr>
    </w:tbl>
    <w:p>
      <w:pPr>
        <w:pStyle w:val="2"/>
      </w:pPr>
      <w:r>
        <w:t>핵심 요약</w:t>
      </w:r>
    </w:p>
    <w:p>
      <w:pPr/>
      <w:r>
        <w:t>한국환경공단이 환경부장관의 위탁을 받아 운영하는 올바로시스템의 전자기록이 형법상 '공전자기록'에 해당하는지가 쟁점이었습니다.</w:t>
      </w:r>
    </w:p>
    <w:p>
      <w:pPr/>
      <w:r>
        <w:t>대법원은 공단 임직원을 공무원으로, 공단을 공무소로 볼 수 없어 올바로시스템 기록은 공전자기록이 아니고 공전자기록 위작죄가 성립하지 않는다고 판단했습니다.</w:t>
      </w:r>
    </w:p>
    <w:p>
      <w:pPr/>
      <w:r>
        <w:t>다른 법률이 공단 임직원을 뇌물죄 등에서 공무원으로 의제하더라도 이를 위작죄의 공무원으로까지 확대하는 것은 죄형법정주의에 반한다고 밝혔습니다.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https://www.law.go.kr/판례/(2016도19170)</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#2020년판례 #2016도19170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