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b/>
          <w:color w:val="000000"/>
          <w:u w:val="single"/>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폐기물처리시설 설치비용 산정의 기준이 되는 부지면적에 주민편익시설 면적을 포함시켜 부담금을 부과할 수 있는지가 쟁점이었습니다.</w:t>
      </w:r>
    </w:p>
    <w:p>
      <w:pPr/>
      <w:r>
        <w:t>대법원은 사업시행자가 설치할 폐기물처리시설과 그 설치비용에 주민편익시설은 포함되지 않는다고 보았습니다.</w:t>
      </w:r>
    </w:p>
    <w:p>
      <w:pPr/>
      <w:r>
        <w:t>이를 포함시키도록 한 조례 규정은 상위법령의 해석범위를 넘어 위임 한계를 벗어난 새로운 입법이므로 무효라고 판단했습니다.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