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서울특별시 송파구청장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택지·공동주택 개발 사업자가 부담하는 폐기물처리시설 설치비용에 주민편익시설 비용까지 넣을 수 있는지가 쟁점이었습니다.</w:t>
      </w:r>
    </w:p>
    <w:p>
      <w:pPr/>
      <w:r>
        <w:t>대법원은 법령이 정한 폐기물처리시설(소각시설·음식물류폐기물처리시설)에 주민편익시설은 포함되지 않으므로, 그 비용까지 부담시킨 조례는 위임 한계를 벗어나 무효라고 판단했습니다.</w:t>
      </w:r>
    </w:p>
    <w:p>
      <w:pPr/>
      <w:r>
        <w:t>지자체가 부담금을 물리려면 상위법령이 위임한 범위 안에서만 산정 기준을 정해야 한다는 점을 실무상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