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2"/>
      </w:pPr>
      <w:r>
        <w:t>핵심 요약</w:t>
      </w:r>
    </w:p>
    <w:p>
      <w:pPr/>
      <w:r>
        <w:t>폐기물처리시설 설치비용 부담금을 산정하면서 관리동·세차동 등 기타시설의 부지면적을 포함시킨 조례가 위임 한계를 벗어났는지가 쟁점이었습니다.</w:t>
      </w:r>
    </w:p>
    <w:p>
      <w:pPr/>
      <w:r>
        <w:t>대법원은 관리동·세차동 등 부지면적을 넣은 부분은 상위법령을 구체화한 것에 불과해 유효하지만, 주민편익시설 설치비용을 포함시킨 부분은 무효라고 보았습니다.</w:t>
      </w:r>
    </w:p>
    <w:p>
      <w:pPr/>
      <w:r>
        <w:t>부담금 산정 항목마다 상위법령의 위임 범위 안에 있는지를 따로 따져야 한다는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