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절차를 어긴 원상복구 시정명령, 위반해도 처벌할 수 없습니다</w:t>
      </w:r>
    </w:p>
    <w:p>
      <w:pPr>
        <w:pStyle w:val="law1"/>
        <w:autoSpaceDE w:val="0"/>
        <w:autoSpaceDN w:val="0"/>
        <w:spacing w:after="160"/>
      </w:pPr>
      <w:r>
        <w:rPr>
          <w:rFonts w:ascii="맑은 고딕" w:hAnsi="맑은 고딕" w:eastAsia="맑은 고딕" w:cs="맑은 고딕"/>
          <w:color w:val="000000"/>
        </w:rPr>
        <w:t>대법원 2017도7321 (2017.09.21 선고)</w:t>
      </w:r>
    </w:p>
    <w:p>
      <w:pPr>
        <w:autoSpaceDE w:val="0"/>
        <w:autoSpaceDN w:val="0"/>
        <w:spacing w:after="120"/>
      </w:pPr>
      <w:r>
        <w:rPr>
          <w:rFonts w:ascii="맑은 고딕" w:hAnsi="맑은 고딕" w:eastAsia="맑은 고딕" w:cs="맑은 고딕"/>
          <w:color w:val="000000"/>
        </w:rPr>
        <w:t>○ 개발제한구역 내 무단 고철 적치에 대한 원상복구 시정명령을 위반하여 처벌하려면 시정명령이 적법해야 하는지가 문제된 사건입니다. 대법원은 사전통지·의견제출 기회를 주지 않은 시정명령은 절차적 하자로 위법하여 위반죄가 성립하지 않는다고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원상복구 시정명령이 위법하면 이를 어겨도 처벌할 수 있나요?</w:t>
            </w:r>
          </w:p>
          <w:p>
            <w:pPr>
              <w:autoSpaceDE w:val="0"/>
              <w:autoSpaceDN w:val="0"/>
            </w:pPr>
            <w:r>
              <w:rPr>
                <w:rFonts w:ascii="맑은 고딕" w:hAnsi="맑은 고딕" w:eastAsia="맑은 고딕" w:cs="맑은 고딕"/>
                <w:b w:val="0"/>
                <w:color w:val="000000"/>
                <w:sz w:val="19"/>
              </w:rPr>
              <w:t>A. 아니요. 시정명령이 당연무효가 아니더라도 위법하면 위반죄가 성립하지 않습니다.</w:t>
            </w:r>
          </w:p>
          <w:p>
            <w:pPr>
              <w:autoSpaceDE w:val="0"/>
              <w:autoSpaceDN w:val="0"/>
            </w:pPr>
          </w:p>
          <w:p>
            <w:pPr>
              <w:autoSpaceDE w:val="0"/>
              <w:autoSpaceDN w:val="0"/>
            </w:pPr>
            <w:r>
              <w:rPr>
                <w:rFonts w:ascii="맑은 고딕" w:hAnsi="맑은 고딕" w:eastAsia="맑은 고딕" w:cs="맑은 고딕"/>
                <w:b/>
                <w:color w:val="000000"/>
                <w:sz w:val="19"/>
              </w:rPr>
              <w:t>Q. 사전통지나 의견제출 기회를 주지 않은 시정명령은 위법한가요?</w:t>
            </w:r>
          </w:p>
          <w:p>
            <w:pPr>
              <w:autoSpaceDE w:val="0"/>
              <w:autoSpaceDN w:val="0"/>
            </w:pPr>
            <w:r>
              <w:rPr>
                <w:rFonts w:ascii="맑은 고딕" w:hAnsi="맑은 고딕" w:eastAsia="맑은 고딕" w:cs="맑은 고딕"/>
                <w:b w:val="0"/>
                <w:color w:val="000000"/>
                <w:sz w:val="19"/>
              </w:rPr>
              <w:t>A. 네. 정당화 사유 없이 사전통지·의견제출 기회를 주지 않았다면 절차적 하자로 위법합니다.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2017도7321</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2017.09.21</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피고인 1 외 1인</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이 사건 공소사실 중 시정명령 불이행으로 인한 개발제한구역법 위반의 점에 기재된 바와 같이 피고인 1에게 고철 적치 행위 등에 대한 원상복구를 명하는 시정명령(이하 ‘이 사건 시정명령’이라 한다)을 하면서 위 피고인에 대하여 사전통지를 하지 아니하였을 뿐 아니라 의견제출 기회도 주지 아니하였고, 그러한 절차를 거치지 아니할 예외적인 사정도 없었음을 알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이러한 사실관계를 앞서 본 법리에 비추어 살펴보면, 행정청인 하남시장은 침해적 행정처분인 이 사건 시정명령을 하면서 피고인 1에게 행정절차법 제21조, 제22조에 따른 적법한 사전통지를 하거나 의견제출 기회를 부여하였다고 볼 수 없고 이를 정당화할 사유도 없으므로, 이 사건 시정명령은 절차적 하자가 있어 위법하고, 이 사건 시정명령이 당연무효가 아니더라도 위법한 것으로 인정되는 이상, 피고인 1이 그 시정명령을 이행하지 아니하였다 하더라도 피고인 1에 대하여 개발제한구역법 제32조 제2호 위반죄가 성립할 수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피고인 1에 대하여 위 개발제한구역법위반죄가 성립하지 아니하므로 피고인 2 주식회사(이하 ‘피고인 회사’라 한다)에 대하여도 피고인 1의 시정명령 불이행으로 인한 개발제한구역법위반죄가 성립하지 아니한다.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그럼에도 원심은, 그 판시와 같은 이유만을 들어 이 사건 시정명령이 내려지기 이전에 피고인 1에게 행정절차법이 정한 사전통지나 의견제출 기회의 부여가 이루어지지 않았더라도 그러한 절차상 하자가 위 시정명령을 당연무효로 할 만큼 중대·명백하다고 단정하기 어려우므로 위 시정명령의 효력을 부정할 수 없다고 보아, 피고인들에 대한 이 사건 공소사실 중 이 사건 시정명령 불이행으로 인한 개발제한구역법위반 부분을 유죄로 인정한 제1심판결을 그대로 유지하였다. 이러한</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[1] 개발제한구역의 지정 및 관리에 관한 특별조치법 제30조 제1항에 의하여 행정청으로부터 시정명령을 받은 자가 이를 위반한 경우, 같은 법 제32조 제2호에 정한 처벌을 하기 위하여는 시정명령이 적법하여야 하는지 여부(적극) / 시정명령이 당연무효는 아니지만 위법한 것으로 인정되는 경우, 같은 법 제32조 제2호 위반죄가 성립하는지 여부(소극)</w:t>
      </w:r>
      <w:r>
        <w:rPr>
          <w:rFonts w:ascii="맑은 고딕" w:hAnsi="맑은 고딕" w:eastAsia="맑은 고딕" w:cs="맑은 고딕"/>
          <w:color w:val="000000"/>
        </w:rPr>
        <w:br/>
      </w:r>
      <w:r>
        <w:rPr>
          <w:rFonts w:ascii="맑은 고딕" w:hAnsi="맑은 고딕" w:eastAsia="맑은 고딕" w:cs="맑은 고딕"/>
          <w:color w:val="000000"/>
          <w:u w:val="single"/>
        </w:rPr>
        <w:t>[2] 피고인 甲 주식회사의 대표이사 피고인 乙이 개발제한구역 내에 무단으로 고철을 쌓아 놓은 행위 등에 대하여 관할관청으로부터 원상복구를 명하는 시정명령을 받고도 이행하지 아니하였다고 하여 개발제한구역의 지정 및 관리에 관한 특별조치법 위반으로 기소된 사안에서, 관할관청이 침해적 행정처분인 시정명령을 하면서 적법한 사전통지를 하거나 의견제출 기회를 부여하지 않았고 이를 정당화할 사유도 없어 시정명령은 절차적 하자가 있어 위법하므로, 피고인 乙에 대하여 같은 법 제32조 제2호 위반죄가 성립하지 않는다고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b/>
          <w:color w:val="000000"/>
          <w:u w:val="single"/>
        </w:rPr>
        <w:t>① 원심의 판단에는 행정행위의 공정력과 선결문제, 개발제한구역법 제32조의 시정명령위반죄에 관한 법리를 오해하여 판결 결과에 영향을 미친 위법이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이러한 취지의 상고이유 주장은 이유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③ 피고인 1의 폐기물관리법위반죄에 관한 양형부당을 주장하는 상고이유에 대하여 원심판결에 양형조건이 되는 정상에 관한 채증법칙위반의 위법이 있다는 취지의 주장은 결국 양형부당 주장에 해당한다.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그런데 형사소송법 제383조 제4호에 의하면 사형, 무기 또는 10년 이상의 징역이나 금고가 선고된 사건에서만 양형부당을 사유로 한 상고가 허용되므로, 피고인 1에 대하여 그보다 가벼운 형이 선고된 이 사건에서 형의 양정이 부당하다는 취지의 주장은 적법한 상고이유가 되지 못한다.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파기의 범위 피고인 1 피고인 1에게는 제1심 판시 폐기물관리법위반죄(제1의 가.죄)와 물건 적치로 인한 개발제한구역법위반죄[제1의 나.(1)죄] 중간에 제1심 판시 첫머리에 기재된 확정판결의 전과가 있으므로 위 폐기물관리법위반죄는 판결이 확정된 죄와 형법 제37조 후단의 경합범 관계에 있어 나머지 부분이 파기된다 하더라도 그 부분의 죄는 별개로 심리·판단되고 또 분리되어 확정되는 관계에 있으므로(대법원 1999. 11. 12. 선고 99도2934 판결 등 참조), 원심판결 중 피고인 1의 위 폐기물관리법위반죄 부분에 대한 위 피고인의 상고는 기각되어야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원심판결 중 피고인 1에 대한 시정명령 불이행으로 인한 개발제한구역법위반 부분은 앞서 본 이유로 파기되어야 하는데, 원심은 이 부분과 피고인 1에 대한 나머지 개발제한구역법위반의 공소사실을 모두 유죄로 인정한 다음 이를 형법 제37조 전단의 경합범으로 보아 피고인 1의 위 각 죄에 대하여 1개의 형을 선고한 제1심판결을 유지하였으므로, 원심판결 중 피고인 1에 대한 제1심 판시 각 개발제한구역법위반죄 부분(제1의 나.죄 부분)은 모두 파기되어야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피고인 회사 원심판결 중 피고인 회사에 대한 시정명령 불이행으로 인한 개발제한구역법위반 부분은 앞서 본 이유로 파기되어야 하는데, 원심은 이 부분을 포함하여 피고인 회사에 대한 이 사건 공소사실을 모두 유죄로 인정한 다음 이를 형법 제37조 전단의 경합범으로 보아 피고인 회사에 대하여 1개의 형을 선고한 제1심판결을 유지하였으므로, 원심판결 중 피고인 회사에 대한 부분은 모두 파기되어야 한다.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u w:val="single"/>
        </w:rPr>
        <w:t>[1] 개발제한구역의 지정 및 관리에 관한 특별조치법(이하 ‘개발제한구역법’이라 한다) 제30조 제1항에 의하여 행정청으로부터 시정명령을 받은 자가 이를 위반한 경우, 그로 인하여 개발제한구역법 제32조 제2호에 정한 처벌을 하기 위하여는 시정명령이 적법한 것이라야 하고, 시정명령이 당연무효가 아니더라도 위법한 것으로 인정되는 한 개발제한구역법 제32조 제2호 위반죄가 성립될 수 없다.</w:t>
      </w:r>
      <w:r>
        <w:rPr>
          <w:rFonts w:ascii="맑은 고딕" w:hAnsi="맑은 고딕" w:eastAsia="맑은 고딕" w:cs="맑은 고딕"/>
          <w:color w:val="000000"/>
        </w:rPr>
        <w:br/>
      </w:r>
      <w:r>
        <w:rPr>
          <w:rFonts w:ascii="맑은 고딕" w:hAnsi="맑은 고딕" w:eastAsia="맑은 고딕" w:cs="맑은 고딕"/>
          <w:b/>
          <w:color w:val="000000"/>
          <w:u w:val="single"/>
        </w:rPr>
        <w:t>[2] 피고인 甲 주식회사의 대표이사 피고인 乙이 개발제한구역 내에 무단으로 고철을 쌓아 놓은 행위 등에 대하여 관할관청으로부터 원상복구를 명하는 시정명령을 받고도 이행하지 아니하였다고 하여 개발제한구역의 지정 및 관리에 관한 특별조치법(이하 ‘개발제한구역법’이라 한다) 위반으로 기소된 사안에서, 관할관청이 침해적 행정처분인 시정명령을 하면서 피고인 乙에게 행정절차법 제21조, 제22조에 따른 적법한 사전통지를 하거나 의견제출 기회를 부여하지 않았고 이를 정당화할 사유도 없으므로 시정명령은 절차적 하자가 있어 위법하고, 시정명령이 당연무효가 아니더라도 위법한 것으로 인정되는 이상 피고인 乙이 시정명령을 이행하지 아니하였더라도 피고인 乙에 대하여 개발제한구역법 제32조 제2호 위반죄가 성립하지 아니함에도, 이와 달리 보아 피고인들에게 유죄를 인정한 원심판단에 행정행위의 공정력과 선결문제, 개발제한구역법 제32조의 시정명령위반죄에 관한 법리오해의 위법이 있다고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개발제한구역의 지정 및 관리에 관한 특별조치법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제30조 제1항</w:t>
            </w:r>
          </w:p>
        </w:tc>
        <w:tc>
          <w:tcPr>
            <w:tcW w:type="pct" w:w="3500"/>
          </w:tcPr>
          <w:p>
            <w:pPr>
              <w:autoSpaceDE w:val="0"/>
              <w:autoSpaceDN w:val="0"/>
            </w:pPr>
            <w:r/>
            <w:r>
              <w:rPr>
                <w:rFonts w:ascii="맑은 고딕" w:hAnsi="맑은 고딕" w:eastAsia="맑은 고딕" w:cs="맑은 고딕"/>
                <w:b w:val="0"/>
                <w:color w:val="000000"/>
                <w:sz w:val="19"/>
              </w:rPr>
              <w:t>① 시장ㆍ군수ㆍ구청장은 다음 각 호의 어느 하나에 해당하는 행위를 적발한 경우에는 그 허가를 취소할 수 있으며, 해당 행위자(위반행위에 이용된 건축물ㆍ공작물ㆍ토지의 소유자ㆍ관리자 또는 점유자를 포함한다. 이하 "위반행위자등"이라 한다)에 대하여 공사의 중지 또는 상당한 기간을 정하여 건축물ㆍ공작물 등의 철거ㆍ폐쇄ㆍ개축 또는 이전, 그 밖에 필요한 조치를 명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개발제한구역의 지정 및 관리에 관한 특별조치법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제32조 제2호</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1년 이하의 징역 또는 1천만원 이하의 벌금에 처한다.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개발제한구역의 지정 및 관리에 관한 특별조치법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제33조</w:t>
            </w:r>
          </w:p>
        </w:tc>
        <w:tc>
          <w:tcPr>
            <w:tcW w:type="pct" w:w="3500"/>
          </w:tcPr>
          <w:p>
            <w:pPr>
              <w:autoSpaceDE w:val="0"/>
              <w:autoSpaceDN w:val="0"/>
            </w:pPr>
            <w:r/>
            <w:r>
              <w:rPr>
                <w:rFonts w:ascii="맑은 고딕" w:hAnsi="맑은 고딕" w:eastAsia="맑은 고딕" w:cs="맑은 고딕"/>
                <w:b w:val="0"/>
                <w:color w:val="000000"/>
                <w:sz w:val="19"/>
              </w:rPr>
              <w:t>법인의 대표자나 법인 또는 개인의 대리인, 사용인, 그 밖의 종업원이 그 법인 또는 개인의 업무에 관하여 제31조 또는 제32조의 위반행위를 하면 그 행위자를 벌하는 외에 그 법인 또는 개인에게도 해당 조문의 벌금형을 과(科)한다. 다만, 법인 또는 개인이 그 위반행위를 방지하기 위하여 해당 업무에 관하여 상당한 주의와 감독을 게을리하지 아니한 경우에는 그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행정절차법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제21조</w:t>
            </w:r>
          </w:p>
        </w:tc>
        <w:tc>
          <w:tcPr>
            <w:tcW w:type="pct" w:w="3500"/>
          </w:tcPr>
          <w:p>
            <w:pPr>
              <w:autoSpaceDE w:val="0"/>
              <w:autoSpaceDN w:val="0"/>
            </w:pPr>
            <w:r/>
            <w:r>
              <w:rPr>
                <w:rFonts w:ascii="맑은 고딕" w:hAnsi="맑은 고딕" w:eastAsia="맑은 고딕" w:cs="맑은 고딕"/>
                <w:b w:val="0"/>
                <w:color w:val="000000"/>
                <w:sz w:val="19"/>
              </w:rPr>
              <w:t>① 행정청은 당사자에게 의무를 부과하거나 권익을 제한하는 처분을 하는 경우에는 미리 다음 각 호의 사항을 당사자등에게 통지하여야 한다. ② 행정청은 청문을 하려면 청문이 시작되는 날부터 10일 전까지 제1항 각 호의 사항을 당사자등에게 통지하여야 한다. 이 경우 제1항제4호부터 제6호까지의 사항은 청문 주재자의 소속ㆍ직위 및 성명, 청문의 일시 및 장소,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행정절차법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제22조</w:t>
            </w:r>
          </w:p>
        </w:tc>
        <w:tc>
          <w:tcPr>
            <w:tcW w:type="pct" w:w="3500"/>
          </w:tcPr>
          <w:p>
            <w:pPr>
              <w:autoSpaceDE w:val="0"/>
              <w:autoSpaceDN w:val="0"/>
            </w:pPr>
            <w:r/>
            <w:r>
              <w:rPr>
                <w:rFonts w:ascii="맑은 고딕" w:hAnsi="맑은 고딕" w:eastAsia="맑은 고딕" w:cs="맑은 고딕"/>
                <w:b w:val="0"/>
                <w:color w:val="000000"/>
                <w:sz w:val="19"/>
              </w:rPr>
              <w:t>① 행정청이 처분을 할 때 다음 각 호의 어느 하나에 해당하는 경우에는 청문을 한다. ② 행정청이 처분을 할 때 다음 각 호의 어느 하나에 해당하는 경우에는 공청회를 개최한다.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형사소송법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제325조</w:t>
            </w:r>
          </w:p>
        </w:tc>
        <w:tc>
          <w:tcPr>
            <w:tcW w:type="pct" w:w="3500"/>
          </w:tcPr>
          <w:p>
            <w:pPr>
              <w:autoSpaceDE w:val="0"/>
              <w:autoSpaceDN w:val="0"/>
            </w:pPr>
            <w:r/>
            <w:r>
              <w:rPr>
                <w:rFonts w:ascii="맑은 고딕" w:hAnsi="맑은 고딕" w:eastAsia="맑은 고딕" w:cs="맑은 고딕"/>
                <w:b w:val="0"/>
                <w:color w:val="000000"/>
                <w:sz w:val="19"/>
              </w:rPr>
              <w:t>피고사건이 범죄로 되지 아니하거나 범죄사실의 증명이 없는 때에는 판결로써 무죄를 선고하여야 한다.</w:t>
            </w:r>
          </w:p>
        </w:tc>
      </w:tr>
    </w:tbl>
    <w:p>
      <w:pPr>
        <w:pStyle w:val="2"/>
      </w:pPr>
      <w:r>
        <w:t>핵심 요약</w:t>
      </w:r>
    </w:p>
    <w:p>
      <w:pPr/>
      <w:r>
        <w:t>개발제한구역 내 무단 고철 적치에 대한 원상복구 시정명령 위반을 처벌하려면 그 시정명령이 적법해야 하는지가 쟁점이었습니다.</w:t>
      </w:r>
    </w:p>
    <w:p>
      <w:pPr/>
      <w:r>
        <w:t>대법원은 사전통지와 의견제출 기회를 주지 않은 시정명령은 절차적 하자로 위법하므로, 이를 이행하지 않아도 위반죄가 성립하지 않는다고 판단했습니다.</w:t>
      </w:r>
    </w:p>
    <w:p>
      <w:pPr/>
      <w:r>
        <w:t>침해적 처분을 할 때는 행정절차법상 사전통지·의견제출 절차를 반드시 거쳐야 처분과 그 위반에 대한 처벌이 유효하다는 점을 유의해야 합니다.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https://www.law.go.kr/판례/(2017도7321)</w:t>
      </w:r>
    </w:p>
    <w:p>
      <w:pPr>
        <w:autoSpaceDE w:val="0"/>
        <w:autoSpaceDN w:val="0"/>
        <w:spacing w:before="80"/>
      </w:pPr>
      <w:r>
        <w:rPr>
          <w:rFonts w:ascii="맑은 고딕" w:hAnsi="맑은 고딕" w:eastAsia="맑은 고딕" w:cs="맑은 고딕"/>
          <w:color w:val="000000"/>
          <w:sz w:val="18"/>
        </w:rPr>
        <w:t>태그  #폐기물관리법판례 #형사판례 #대법원판례 #2017년판례 #2017도7321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