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2"/>
      </w:pPr>
      <w:r>
        <w:t>핵심 요약</w:t>
      </w:r>
    </w:p>
    <w:p>
      <w:pPr/>
      <w:r>
        <w:t>폐기물처리시설을 관리기준에 어긋나게 유지·관리했다는 이유로 처벌하려면 어느 정도의 결과가 필요한지, 처벌 대상이 누구인지가 쟁점이었습니다.</w:t>
      </w:r>
    </w:p>
    <w:p>
      <w:pPr/>
      <w:r>
        <w:t>대법원은 실제로 오염물질이 배출되어 주변환경을 오염시킨 결과가 있어야 처벌되고, 위반 주체는 시설을 설치·운영하는 자로 한정된다고 보았습니다.</w:t>
      </w:r>
    </w:p>
    <w:p>
      <w:pPr/>
      <w:r>
        <w:t>다만 양벌규정에 따라 설치·운영자가 아니어도 그 업무를 실제로 집행한 사람은 처벌될 수 있다는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