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2"/>
      </w:pPr>
      <w:r>
        <w:t>핵심 요약</w:t>
      </w:r>
    </w:p>
    <w:p>
      <w:pPr/>
      <w:r>
        <w:t>확정판결이 있는 죄와 처음부터 동시에 판결할 수 없었던 죄에 형법 제39조 제1항을 적용해 형을 감경·면제할 수 있는지가 쟁점이었습니다.</w:t>
      </w:r>
    </w:p>
    <w:p>
      <w:pPr/>
      <w:r>
        <w:t>대법원은 확정판결이 난 뒤에 저지른 범죄는 그 이전에 확정된 죄와 애초에 함께 판결할 수 없었던 경우여서, 제39조 제1항에 따른 형평 고려나 감경·면제를 할 수 없다고 판단했습니다.</w:t>
      </w:r>
    </w:p>
    <w:p>
      <w:pPr/>
      <w:r>
        <w:t>확정판결의 전후 관계에 따라 형법 제39조 제1항의 적용 여부가 달라진다는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