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2"/>
      </w:pPr>
      <w:r>
        <w:t>핵심 요약</w:t>
      </w:r>
    </w:p>
    <w:p>
      <w:pPr/>
      <w:r>
        <w:t>폐기물처리업자가 지켜야 할 준수사항인 ‘적정한 보관장소’의 범위가 어디까지인지가 쟁점이었습니다.</w:t>
      </w:r>
    </w:p>
    <w:p>
      <w:pPr/>
      <w:r>
        <w:t>대법원은 적정한 보관장소란 승인·변경승인받은 임시보관시설·임시보관장소와, 처분·재활용 시설이 있는 사업장 안에서 허가·변경허가받은 보관시설로 한정된다고 판단했습니다.</w:t>
      </w:r>
    </w:p>
    <w:p>
      <w:pPr/>
      <w:r>
        <w:t>허가나 승인을 받지 않은 곳에 폐기물을 보관하면 준수사항 위반이 될 수 있으므로 보관장소를 임의로 정해서는 안 된다는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