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부적합, 행정청은 발급요건까지 보완시킬 의무가 없습니다</w:t>
      </w:r>
    </w:p>
    <w:p>
      <w:pPr>
        <w:pStyle w:val="law1"/>
        <w:autoSpaceDE w:val="0"/>
        <w:autoSpaceDN w:val="0"/>
        <w:spacing w:after="160"/>
      </w:pPr>
      <w:r>
        <w:rPr>
          <w:rFonts w:ascii="맑은 고딕" w:hAnsi="맑은 고딕" w:eastAsia="맑은 고딕" w:cs="맑은 고딕"/>
          <w:color w:val="000000"/>
        </w:rPr>
        <w:t>대법원 2020두36007 (2020.07.23 선고)</w:t>
      </w:r>
    </w:p>
    <w:p>
      <w:pPr>
        <w:autoSpaceDE w:val="0"/>
        <w:autoSpaceDN w:val="0"/>
        <w:spacing w:after="120"/>
      </w:pPr>
      <w:r>
        <w:rPr>
          <w:rFonts w:ascii="맑은 고딕" w:hAnsi="맑은 고딕" w:eastAsia="맑은 고딕" w:cs="맑은 고딕"/>
          <w:color w:val="000000"/>
        </w:rPr>
        <w:t>○ 폐기물처리사업계획서 적합 여부 판단의 재량 범위와, 거부처분 전 보완기회 부여 의무가 문제된 사건입니다. 대법원은 광범위한 재량을 인정하면서, 실체적 발급요건까지 보완시킬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행정청은 거부처분 전에 신청 내용이나 발급요건까지 보완할 기회를 반드시 줘야 하나요?</w:t>
            </w:r>
          </w:p>
          <w:p>
            <w:pPr>
              <w:autoSpaceDE w:val="0"/>
              <w:autoSpaceDN w:val="0"/>
            </w:pPr>
            <w:r>
              <w:rPr>
                <w:rFonts w:ascii="맑은 고딕" w:hAnsi="맑은 고딕" w:eastAsia="맑은 고딕" w:cs="맑은 고딕"/>
                <w:b w:val="0"/>
                <w:color w:val="000000"/>
                <w:sz w:val="19"/>
              </w:rPr>
              <w:t>A. 아니요. 행정절차법 제17조 제5항은 실체적 발급요건까지 보완할 기회를 반드시 부여할 의무를 정한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2020두36007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2020.07.23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푸드원 · 피고 음성군수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원심의 판단 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대법원의 판단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⑨ 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뿐만 아니라 이 사건 폐기물처리시설에서 악취방지법이 정한 한도를 초과하는 수준의 악취가 발생할 것으로도 예측된다.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⑮ 그런데도 원심은 판시와 같은 이유만으로 이 사건 처분이 재량권을 일탈·남용한 것으로서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⑯ 이러한 원심판단에는 폐기물관리법상 폐기물처리사업계획서 적합 여부 통보 등에 관한 법리를 오해하여 필요한 심리를 다하지 않음으로써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u w:val="single"/>
        </w:rPr>
        <w:t>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b/>
          <w:color w:val="000000"/>
          <w:u w:val="single"/>
        </w:rPr>
        <w:t>[3]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제5항</w:t>
            </w:r>
          </w:p>
        </w:tc>
        <w:tc>
          <w:tcPr>
            <w:tcW w:type="pct" w:w="3500"/>
          </w:tcPr>
          <w:p>
            <w:pPr>
              <w:autoSpaceDE w:val="0"/>
              <w:autoSpaceDN w:val="0"/>
            </w:pPr>
            <w:r/>
            <w:r>
              <w:rPr>
                <w:rFonts w:ascii="맑은 고딕" w:hAnsi="맑은 고딕" w:eastAsia="맑은 고딕" w:cs="맑은 고딕"/>
                <w:b w:val="0"/>
                <w:color w:val="000000"/>
                <w:sz w:val="19"/>
              </w:rPr>
              <w:t>⑤ 행정청은 신청에 구비서류의 미비 등 흠이 있는 경우에는 보완에 필요한 상당한 기간을 정하여 지체 없이 신청인에게 보완을 요구하여야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제6항</w:t>
            </w:r>
          </w:p>
        </w:tc>
        <w:tc>
          <w:tcPr>
            <w:tcW w:type="pct" w:w="3500"/>
          </w:tcPr>
          <w:p>
            <w:pPr>
              <w:autoSpaceDE w:val="0"/>
              <w:autoSpaceDN w:val="0"/>
            </w:pPr>
            <w:r/>
            <w:r>
              <w:rPr>
                <w:rFonts w:ascii="맑은 고딕" w:hAnsi="맑은 고딕" w:eastAsia="맑은 고딕" w:cs="맑은 고딕"/>
                <w:b w:val="0"/>
                <w:color w:val="000000"/>
                <w:sz w:val="19"/>
              </w:rPr>
              <w:t>⑥ 행정청은 신청인이 제5항에 따른 기간 내에 보완을 하지 아니하였을 때에는 그 이유를 구체적으로 밝혀 접수된 신청을 되돌려 보낼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제8항</w:t>
            </w:r>
          </w:p>
        </w:tc>
        <w:tc>
          <w:tcPr>
            <w:tcW w:type="pct" w:w="3500"/>
          </w:tcPr>
          <w:p>
            <w:pPr>
              <w:autoSpaceDE w:val="0"/>
              <w:autoSpaceDN w:val="0"/>
            </w:pPr>
            <w:r/>
            <w:r>
              <w:rPr>
                <w:rFonts w:ascii="맑은 고딕" w:hAnsi="맑은 고딕" w:eastAsia="맑은 고딕" w:cs="맑은 고딕"/>
                <w:b w:val="0"/>
                <w:color w:val="000000"/>
                <w:sz w:val="19"/>
              </w:rPr>
              <w:t>⑧ 신청인은 처분이 있기 전에는 그 신청의 내용을 보완ㆍ변경하거나 취하(取下)할 수 있다. 다만, 다른 법령등에 특별한 규정이 있거나 그 신청의 성질상 보완ㆍ변경하거나 취하할 수 없는 경우에는 그러하지 아니하다.</w:t>
            </w:r>
          </w:p>
        </w:tc>
      </w:tr>
    </w:tbl>
    <w:p>
      <w:pPr>
        <w:pStyle w:val="2"/>
      </w:pPr>
      <w:r>
        <w:t>핵심 요약</w:t>
      </w:r>
    </w:p>
    <w:p>
      <w:pPr/>
      <w:r>
        <w:t>폐기물처리 사업계획서의 적합 여부에는 행정청의 광범위한 재량이 인정되며, 악취 등 생활환경 영향 우려를 이유로 부적합 통보를 할 수 있습니다.</w:t>
      </w:r>
    </w:p>
    <w:p>
      <w:pPr/>
      <w:r>
        <w:t>행정청은 거부처분을 하기 전에 신청 내용이나 실체적 발급요건까지 보완할 기회를 반드시 줘야 할 의무는 없습니다.</w:t>
      </w:r>
    </w:p>
    <w:p>
      <w:pPr/>
      <w:r>
        <w:t>따라서 악취저감시설 등 보완 기회를 주지 않았다는 사정만으로 부적합 처분이 위법해지는 것은 아니라는 점에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https://www.law.go.kr/판례/(2020두36007)</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