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담뱃세 인상 전 임시 이동은 ‘제조장 반출’이 아닙니다 (폐기물부담금)</w:t>
      </w:r>
    </w:p>
    <w:p>
      <w:pPr>
        <w:pStyle w:val="law1"/>
        <w:autoSpaceDE w:val="0"/>
        <w:autoSpaceDN w:val="0"/>
        <w:spacing w:after="160"/>
      </w:pPr>
      <w:r>
        <w:rPr>
          <w:rFonts w:ascii="맑은 고딕" w:hAnsi="맑은 고딕" w:eastAsia="맑은 고딕" w:cs="맑은 고딕"/>
          <w:color w:val="000000"/>
        </w:rPr>
        <w:t>대법원 2021두35834 (2024.05.23 선고)</w:t>
      </w:r>
    </w:p>
    <w:p>
      <w:pPr>
        <w:autoSpaceDE w:val="0"/>
        <w:autoSpaceDN w:val="0"/>
        <w:spacing w:after="120"/>
      </w:pPr>
      <w:r>
        <w:rPr>
          <w:rFonts w:ascii="맑은 고딕" w:hAnsi="맑은 고딕" w:eastAsia="맑은 고딕" w:cs="맑은 고딕"/>
          <w:color w:val="000000"/>
        </w:rPr>
        <w:t>○ 담뱃세 인상 전에 담배를 일시적인 방편으로 마련한 장소로 옮긴 것을 ‘제조장에서 반출’로 보아 폐기물부담금 등을 물릴 수 있는지가 문제된 사건입니다. 대법원은 이를 반출로 볼 수 없고, 반출 시점의 개정 세율이 적용된다고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담뱃세 인상 전 인상차액을 노려 임시 장소로 담배를 옮긴 것도 ‘제조장 반출’인가요?</w:t>
            </w:r>
          </w:p>
          <w:p>
            <w:pPr>
              <w:autoSpaceDE w:val="0"/>
              <w:autoSpaceDN w:val="0"/>
            </w:pPr>
            <w:r>
              <w:rPr>
                <w:rFonts w:ascii="맑은 고딕" w:hAnsi="맑은 고딕" w:eastAsia="맑은 고딕" w:cs="맑은 고딕"/>
                <w:b w:val="0"/>
                <w:color w:val="000000"/>
                <w:sz w:val="19"/>
              </w:rPr>
              <w:t>A. 아니요. 통상적 거래에서 벗어나 일시적 방편으로 옮긴 것에 불과하면 제조장에서 반출한 것으로 볼 수 없습니다.</w:t>
            </w:r>
          </w:p>
          <w:p>
            <w:pPr>
              <w:autoSpaceDE w:val="0"/>
              <w:autoSpaceDN w:val="0"/>
            </w:pPr>
          </w:p>
          <w:p>
            <w:pPr>
              <w:autoSpaceDE w:val="0"/>
              <w:autoSpaceDN w:val="0"/>
            </w:pPr>
            <w:r>
              <w:rPr>
                <w:rFonts w:ascii="맑은 고딕" w:hAnsi="맑은 고딕" w:eastAsia="맑은 고딕" w:cs="맑은 고딕"/>
                <w:b/>
                <w:color w:val="000000"/>
                <w:sz w:val="19"/>
              </w:rPr>
              <w:t>Q. 미납세 반출 후 시행일 뒤에 다시 반출한 담배에는 어떤 세율이 적용되나요?</w:t>
            </w:r>
          </w:p>
          <w:p>
            <w:pPr>
              <w:autoSpaceDE w:val="0"/>
              <w:autoSpaceDN w:val="0"/>
            </w:pPr>
            <w:r>
              <w:rPr>
                <w:rFonts w:ascii="맑은 고딕" w:hAnsi="맑은 고딕" w:eastAsia="맑은 고딕" w:cs="맑은 고딕"/>
                <w:b w:val="0"/>
                <w:color w:val="000000"/>
                <w:sz w:val="19"/>
              </w:rPr>
              <w:t>A. 반출 시점에 시행되는 개정규정의 세율이 적용되며, 이 법리는 폐기물부담금 등 ‘제조장에서 반출’ 요건 해석에도 똑같이 적용됩니다.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2021두35834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2024.05.23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 주식회사 · 피고 한국환경공단 외 2인</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원고는 기획재정부장관으로부터 담배사업법에 의한 담배제조업의 허가를 받아 2012. 8. 2.부터 양산시 △△동에 있는 제조공장(이하 ‘이 사건 제조공장’이라고 한다)에서 담배를 제조하였다.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원고는 2014. 9. 2.까지 다음과 같은 방식으로 담배를 제조·판매하면서 담배소비세 및 지방교육세를 신고·납부하였다.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원고는 이 사건 제조공장에서 담배를 제조한 다음, 이를 운송·보관업무 등을 위탁한 주식회사 (회사명 생략)(이하 ‘소외 회사’라고 한다)을 통해 관세법에 따른 보세구역인 양산시 □□읍에 있는 보세창고(이하 ‘양산물류센터’라고 한다)로 옮기고, 그중 일부를 다시 광주시 ◇◇면에 있는 보세창고(이하 ‘서울물류센터’라고 하고, 양산물류센터와 합하여 ‘이 사건 각 물류센터’라고 한다) 등으로 옮긴 뒤, 도매업자 등으로부터 주문을 받으면 배송하는 방식으로 판매하였다.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이 과정에서 원고는 이 사건 제조공장에서 이 사건 각 물류센터로 담배를 옮길 때에는 구 지방세법(2014. 12. 23. 법률 제12855호로 개정되기 전의 것, 이하 같다) 제53조 등에 따라 미납세 반출 대상 담배로 신고하였다가, 이 사건 각 물류센터에서 담배를 반출하는 시점에 담배소비세 및 지방교육세를 신고·납부하였다.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당초 담배는 개별소비세의 과세대상이 아니었고, 그중 ‘제1종 궐련’에 20개비당 641원의 담배소비세와 담배소비세액의 100분의 50에 상당하는 지방교육세가 부과되었다.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그런데 2014. 12. 23. 법률 제12846호로 개정된 개별소비세법(이하 ‘개정 후 개별소비세법’이라고 한다)은 제1조 제2항 제6호를 신설하여 ‘제1종 궐련’에 대하여 20개비당 594원의 개별소비세를 부과하도록 정하였다.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그리고 2014. 12. 23. 법률 제12855호로 개정되고 2015. 12. 29. 법률 제13636호로 개정되기 전의 지방세법(이하 ‘개정 후 지방세법’이라고 한다)은 제52조 제1항 제1호 (가)목에서 ‘제1종 궐련’에 대한 담배소비세율을 20개비당 1,007원으로 인상하였고, 제151조 제1항 제4호에서 지방교육세율을 담배소비세액의 1만분의 4,399로 인하하였다(다만 담배소비세율의 인상으로 담배소비세액이 증가하였고, 그 결과 지방교육세액도 증가하였다). 위 각 개정법률은 2015. 1. 1. 시행되었다.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원고는 개정 후 지방세법과 개정 후 개별소비세법(이하 ‘개정 후 지방세법 등’이라고 한다)이 시행되기 전인 2014. 9. 3.부터 2014. 12. 31.까지 사이에 이 사건 제조공장에서 제조한 담배 104,634,000갑을 보세창고가 아닌 양산시 □□읍에 있는 다른 창고(이하 ‘이 사건 임시창고’라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[1] 담배 제조자가 담뱃세의 인상차액을 얻기 위해 담뱃세 인상 전에 통상적인 행위 또는 거래 형태에서 벗어나 제조장에서 일시적인 방편으로 마련된 장소로 담배를 옮긴 경우, 이를 제조장에서 반출한 것으로 볼 수 있는지 여부(소극)</w:t>
      </w:r>
      <w:r>
        <w:rPr>
          <w:rFonts w:ascii="맑은 고딕" w:hAnsi="맑은 고딕" w:eastAsia="맑은 고딕" w:cs="맑은 고딕"/>
          <w:color w:val="000000"/>
        </w:rPr>
        <w:br/>
      </w:r>
      <w:r>
        <w:rPr>
          <w:rFonts w:ascii="맑은 고딕" w:hAnsi="맑은 고딕" w:eastAsia="맑은 고딕" w:cs="맑은 고딕"/>
          <w:color w:val="000000"/>
          <w:u w:val="single"/>
        </w:rPr>
        <w:t>[2] 담배 공급의 편의를 위하여 제조장 또는 보세구역에서 다른 제조장 또는 보세구역으로 미납세 반출되었다가 2014. 12. 23. 법률 제12855호로 개정된 지방세법, 2014. 12. 23. 법률 제12846호로 개정된 개별소비세법이 시행된 2015. 1. 1. 이후 반입장소에서 다시 반출된 담배에 대하여 그 반출시점에 시행되는 개정규정에서 정한 개정세율이 적용되는지 여부(적극) 및 이와 같은 개정 후 지방세법 등에서의 미납세 반출과 반출의 의미에 관한 법리는 폐기물부담금, 국민건강증진부담금, 연초생산안정화기금의 부과요건사실인 ‘제조장에서 반출’에 관한 해석에도 동일하게 적용되는지 여부(적극)</w:t>
      </w:r>
      <w:r>
        <w:rPr>
          <w:rFonts w:ascii="맑은 고딕" w:hAnsi="맑은 고딕" w:eastAsia="맑은 고딕" w:cs="맑은 고딕"/>
          <w:color w:val="000000"/>
        </w:rPr>
        <w:br/>
      </w:r>
      <w:r>
        <w:rPr>
          <w:rFonts w:ascii="맑은 고딕" w:hAnsi="맑은 고딕" w:eastAsia="맑은 고딕" w:cs="맑은 고딕"/>
          <w:color w:val="000000"/>
          <w:u w:val="single"/>
        </w:rPr>
        <w:t>[3] 자원의 절약과 재활용촉진에 관한 법률 시행령 부칙(2015. 2. 3.) 제2조가 헌법상 원칙적으로 금지되는 진정소급입법에 해당하는지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b/>
          <w:color w:val="000000"/>
          <w:u w:val="single"/>
        </w:rPr>
        <w:t>① 원심의 판단 원심은 그 판시와 같은 이유로, 이 사건 부칙규정, 개정 후 국민건강증진법 부칙 제2조 및 개정 후 담배사업법 시행규칙 부칙 제1조 단서(이하 위 각 부칙규정을 통틀어 ‘이 사건 각 부칙규정’이라고 한다) 등에 의하면 2015. 1. 1. 이후 제조장에서 반출한 담배에 대하여만 이 사건 각 개정법령을 적용할 수 있는데, 이 사건 담배는 2014. 12. 31. 이전에 제조장인 이 사건 제조공장에서 반출된 것으로 보아야 하므로 이 사건 각 개정법령을 적용할 수 없다고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상고이유에 대한 판단 이 사건 제1담배 부분에 관하여 2014. 12. 31. 이전 이 사건 임시창고에서 이 사건 각 물류센터로 옮긴 담배 부분 원심판결 이유를 관련 규정과 아래 2)에서 보는 ‘제조장에서 반출’에 관한 법리, 아래 4항에서 보는 이 사건 부칙규정의 효력 및 기록에 비추어 살펴보면, ‘이 사건 제1담배 가운데 2014. 12. 31.(폐기물부담금의 경우에는 2015. 2. 2.을 말한다) 이전에 이 사건 임시창고에서 이 사건 각 물류센터로 옮긴 담배’에 대하여 이 사건 각 개정법령을 적용할 수 없다고 본 원심의 이유 설시에 일부 부적절한 부분이 있기는 하나 그</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u w:val="single"/>
        </w:rPr>
        <w:t>[1] 폐기물부담금, 국민건강증진부담금, 연초생산안정화기금의 성격, 자원의 절약과 재활용촉진에 관한 법률 시행령 부칙(2015. 2. 3.) 제2조, 국민건강증진법 부칙(2014. 12. 23.) 제2조 및 담배사업법 시행규칙 부칙(2014. 12. 31.) 제1조 단서를 비롯한 2015. 2. 3. 대통령령 제26088호로 개정된 자원의 절약과 재활용촉진에 관한 법률 시행령, 2014. 12. 23. 법률 제12859호로 개정된 국민건강증진법, 2014. 12. 31. 기획재정부령 제453호로 개정된 담배사업법 시행규칙의 입법 취지 등에 비추어 볼 때, 제조자가 담뱃세의 인상차액을 얻기 위하여 담뱃세가 인상되기 전에 통상적인 행위 또는 거래 형태에서 벗어나서 제조장에서 일시적인 방편으로 마련된 장소로 담배를 옮긴 것에 불과하다면, 이를 제조장에서 반출한 것으로 볼 수 없다.</w:t>
      </w:r>
      <w:r>
        <w:rPr>
          <w:rFonts w:ascii="맑은 고딕" w:hAnsi="맑은 고딕" w:eastAsia="맑은 고딕" w:cs="맑은 고딕"/>
          <w:color w:val="000000"/>
        </w:rPr>
        <w:br/>
      </w:r>
      <w:r>
        <w:rPr>
          <w:rFonts w:ascii="맑은 고딕" w:hAnsi="맑은 고딕" w:eastAsia="맑은 고딕" w:cs="맑은 고딕"/>
          <w:b/>
          <w:color w:val="000000"/>
          <w:u w:val="single"/>
        </w:rPr>
        <w:t xml:space="preserve">[2] 담배 제조업자가 담배 공급의 편의를 위하여 제조장 또는 보세구역에서 다른 제조장 또는 보세구역으로 담배를 미납세 반출하였다가 2014. 12. 23. 법률 제12855호로 개정된 지방세법, 2014. 12. 23. 법률 제12846호로 개정된 개별소비세법(이하 ‘개정 후 지방세법 등’이라 한다)이 시행된 2015. 1. 1. 이후 반입장소에서 다시 반출한 경우에는 과세물품인 담배를 미납세 반출한 때가 아니라 그 담배를 반입장소에서 다시 반출하는 때에 납세의무가 성립한다고 보아야 한다. 따라서 미납세 반출되었다가 개정 후 지방세법 등이 시행된 2015. 1. 1. 이후에 반입장소에서 다시 반출된 담배에 대하여는 개정 후 지방세법 등의 부칙규정에 따라 그 반출시점에 시행되는 개정규정에서 정한 개정세율이 적용된다. 위와 같은 개정 후 지방세법 등에서의 미납세 반출과 반출의 의미에 관한 법리는 폐기물부담금, 국민건강증진부담금, 연초생산안정화기금(이하 ‘출연금’이라 한다)의 부과요건사실인 ‘제조장에서 반출’에 관한 해석에도 동일하게 적용된다. 구체적인 이유는 다음과 같다. </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① 부담금은 행정법규에 정해진 부과요건이 충족되는 때에 그 내용과 범위가 정해지는데, 각 부담금 부과에 관한 근거 규정의 문언과 취지 등을 종합하면 각 부담금의 산출기준은 ‘제품의 생산 내지 제조’가 아니라 ‘제품의 출고’에 두고 있어, 각 부담금이 제품의 출고시기를 기준으로 부과됨을 알 수 있다. 즉, 각 부담금의 부과요건사실은 ‘제조장 또는 보세구역에서 반출’이라고 할 것이므로, 담배가 ‘제조장 또는 보세구역에서 반출되는 때’에 담배 제조업자의 각 부담금 납부의무가 성립한다. 따라서 원칙적으로 담배에 관한 담배소비세 등의 납세의무 성립시기와 각 부담금의 납부의무 성립시기는 모두 ‘제조장 또는 보세구역에서 반출한 때’로 일치한다. </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② 각 부담금은 담배소비세 등과 마찬가지로 담배 판매가격의 원가를 구성함으로써 실질적으로 소비자에게 그 부담이 최종적으로 전가된다. </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③ 구 국민건강증진법(2014. 12. 23. 법률 제12859호로 개정되기 전의 것) 및 2014. 12. 23. 법률 제12859호로 개정된 국민건강증진법(이하 ‘개정 후 국민건강증진법’이라 한다) 각 제23조와 2014. 12. 31. 기획재정부령 제453호로 개정된 담배사업법 시행규칙(이하 ‘개정 후 담배사업법 시행규칙’이라 한다) 제17조 제2항은 지방세법 제54조 등에 따라 담배소비세가 면제되거나 담배소비세액이 공제 또는 환급되는 담배를 국민건강증진부담금과 출연금의 부과대상에서 제외하고 있다. 이와 같은 부담금에 관한 근거 규정의 문언 등에 비추어 보면, 부담금의 부과는 담배소비세 부과와 연동되어 있음을 알 수 있다.</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④ 특히 구 자원의 절약과 재활용촉진에 관한 법률 시행령(2015. 2. 3. 대통령령 제26088호로 개정되기 전의 것) 및 2015. 2. 3. 대통령령 제26088호로 개정된 자원의 절약과 재활용촉진에 관한 법률 시행령(이하 ‘개정 후 자원재활용법 시행령’이라 한다) 각 제11조의 [별표 2] 제5호는 지방세법 제53조(미납세 반출), 제54조(과세면제) 등에 따라 담배소비세를 면제하거나 환급하는 담배를 폐기물부담금 부과대상에서 제외한다고 규정하고 있어 담배 제조업자가 제조장에서 담배를 미납세 반출한 것만으로는 폐기물부담금 납부의무가 성립하지 않음을 명확히 하고 있다. </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⑤ 자원의 절약과 재활용촉진에 관한 법률 시행령 부칙(2015. 2. 3.) 제2조, 국민건강증진법 부칙(2014. 12. 23.) 제2조 및 담배사업법 시행규칙 부칙(2014. 12. 31.) 제1조 단서(이하 통틀어 ‘각 부칙규정’이라 한다)도 개정 후 지방세법 등의 부칙규정과 동일하게 담배가 2015. 1. 1. 이후 제조장 또는 보세구역에서 반출되었는지를 기준으로 개정 후 자원재활용법 시행령, 개정 후 국민건강증진법, 개정 후 담배사업법 시행규칙(이하 통틀어 ‘각 개정법령’이라 한다)의 적용 여부를 정하고 있다. 이와 같은 각 부칙규정의 내용을 통해 알 수 있는 입법자의 의사는 개정 후 지방세법 등과 각 개정법령에 따라 세율이나 금액이 인상되거나 부담금 등이 새롭게 도입되는 담배의 범위와 대상을 일치시키려는 것으로 보인다. </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⑥ 담배소비세 등 조세와 각 부담금은 모두 동일한 단위인 담배(궐련) 20개비를 기준으로 책정되고, 위 조세와 각 부담금의 인상 내지 도입은 정부가 담뱃값 인상이라는 단일한 목적하에 취한 일련의 조치였다. 따라서 각 부담금의 부과요건인 ‘제조장에서 반출’의 의미를 담배소비세 등의 과세요건인 ‘제조장으로부터 반출’의 의미와 동일하게 해석하는 것이 입법 목적이나 취지에 부합한다.</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[3] 소급입법은 새로운 입법을 이미 종료된 사실관계 또는 법률관계에 적용하도록 하는 진정소급입법과 현재 진행 중인 사실관계 또는 법률관계에 적용하도록 하는 부진정소급입법으로 나눌 수 있다. 이 중에서 기존의 법에 의하여 이미 형성된 개인의 법적 지위를 사후입법을 통하여 박탈하는 것을 내용으로 하는 진정소급입법은 개인의 신뢰보호와 법적 안정성을 내용으로 하는 법치국가원리에 의하여 허용되지 않는 것이 원칙이다. </w:t>
      </w:r>
      <w:r>
        <w:rPr>
          <w:rFonts w:ascii="맑은 고딕" w:hAnsi="맑은 고딕" w:eastAsia="맑은 고딕" w:cs="맑은 고딕"/>
          <w:color w:val="000000"/>
        </w:rPr>
        <w:br/>
      </w:r>
      <w:r>
        <w:rPr>
          <w:rFonts w:ascii="맑은 고딕" w:hAnsi="맑은 고딕" w:eastAsia="맑은 고딕" w:cs="맑은 고딕"/>
          <w:color w:val="000000"/>
          <w:u w:val="single"/>
        </w:rPr>
        <w:t xml:space="preserve">  폐기물부담금의 부과요건사실은 ‘제조장 또는 보세구역에서 반출’이므로, 담배가 ‘제조장 또는 보세구역에서 반출되는 때’에 담배 제조업자의 폐기물부담금 납부의무가 성립한다.  </w:t>
      </w:r>
      <w:r>
        <w:rPr>
          <w:rFonts w:ascii="맑은 고딕" w:hAnsi="맑은 고딕" w:eastAsia="맑은 고딕" w:cs="맑은 고딕"/>
          <w:color w:val="000000"/>
        </w:rPr>
        <w:br/>
      </w:r>
      <w:r>
        <w:rPr>
          <w:rFonts w:ascii="맑은 고딕" w:hAnsi="맑은 고딕" w:eastAsia="맑은 고딕" w:cs="맑은 고딕"/>
          <w:b/>
          <w:color w:val="000000"/>
          <w:u w:val="single"/>
        </w:rPr>
        <w:t xml:space="preserve">  담배 제조업자는 2015. 1. 1.부터 2015. 2. 2.까지 제조장 또는 보세구역에서 반출한 담배에 대해서 각 반출시점에 구 자원의 절약과 재활용촉진에 관한 법률 시행령(2015. 2. 3. 대통령령 제26088호로 개정되기 전의 것)에 따라 인상되기 전 요율의 폐기물부담금을 납부할 의무를 부담하고 있었는데, 자원의 절약과 재활용촉진에 관한 법률 시행령 부칙(2015. 2. 3.) 제2조로 인하여 위 기간 동안 제조장 또는 보세구역에서 반출한 담배에 대해서도 소급하여 2015. 2. 3. 대통령령 제26088호로 개정된 자원의 절약과 재활용촉진에 관한 법률 시행령 제11조 [별표 2] 제5호에 따른 인상된 요율의 폐기물부담금을 납부할 의무를 부담하게 되었다. 따라서 위 부칙규정은 이미 종결된 폐기물부담금의 부과요건사실(2015. 1. 1.부터 2015. 2. 2.까지 제조장 또는 보세구역에서의 반출)에 대해서까지 소급하여 위 개정규정을 적용하는 것으로서 헌법상 원칙적으로 금지되는 진정소급입법에 해당한다.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자원의 절약과 재활용촉진에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기후에너지환경부장관은 폐기물의 발생을 억제하고 자원의 낭비를 막기 위하여 다음 각 호의 어느 하나에 해당하는 물질이 들어있거나 재활용이 어렵고 폐기물 관리상의 문제를 초래할 가능성이 있는 제품ㆍ재료ㆍ용기 중 대통령령으로 정하는 제품ㆍ재료ㆍ용기의 제조업자(주문자의 상표를 붙이는 방식에 따라 제조한 제품ㆍ재료ㆍ용기의 경우에는 그 주문자를 말한다)나 수입업자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자원의 절약과 재활용촉진에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제11조 [별표 2] 제5호</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자원의 절약과 재활용촉진에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제11조 자원의 절약과 재활용촉진에 관한 법률 시행령 부칙 제2조</w:t>
            </w:r>
          </w:p>
        </w:tc>
        <w:tc>
          <w:tcPr>
            <w:tcW w:type="pct" w:w="3500"/>
          </w:tcPr>
          <w:p>
            <w:pPr>
              <w:autoSpaceDE w:val="0"/>
              <w:autoSpaceDN w:val="0"/>
            </w:pPr>
            <w:r/>
            <w:r>
              <w:rPr>
                <w:rFonts w:ascii="맑은 고딕" w:hAnsi="맑은 고딕" w:eastAsia="맑은 고딕" w:cs="맑은 고딕"/>
                <w:b w:val="0"/>
                <w:color w:val="000000"/>
                <w:sz w:val="19"/>
              </w:rPr>
              <w:t>법 제12조제1항에 따라 제조업자 또는 수입업자가 내야 하는 비용(이하 "폐기물부담금"이라 한다)의 산출기준은 별표 2와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국민건강증진법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제1항 제1호</w:t>
            </w:r>
          </w:p>
        </w:tc>
        <w:tc>
          <w:tcPr>
            <w:tcW w:type="pct" w:w="3500"/>
          </w:tcPr>
          <w:p>
            <w:pPr>
              <w:autoSpaceDE w:val="0"/>
              <w:autoSpaceDN w:val="0"/>
            </w:pPr>
            <w:r/>
            <w:r>
              <w:rPr>
                <w:rFonts w:ascii="맑은 고딕" w:hAnsi="맑은 고딕" w:eastAsia="맑은 고딕" w:cs="맑은 고딕"/>
                <w:b w:val="0"/>
                <w:color w:val="000000"/>
                <w:sz w:val="19"/>
              </w:rPr>
              <w:t>① 보건복지부장관은 「지방세법」 제47조제4호 및 제6호에 따른 제조자 및 수입판매업자가 판매하는 같은 조 제1호에 따른 담배(같은 법 제54조에 따라 담배소비세가 면제되는 것, 같은 법 제63조제1항제1호 및 제2호에 따라 담배소비세액이 공제 또는 환급되는 것은 제외한다. 이하 이 조 및 제23조의2에서 같다)에 다음 각 호의 구분에 따른 부담금(이하 "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국민건강증진법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국민건강증진법 부칙 제2조</w:t>
            </w:r>
          </w:p>
        </w:tc>
        <w:tc>
          <w:tcPr>
            <w:tcW w:type="pct" w:w="3500"/>
          </w:tcPr>
          <w:p>
            <w:pPr>
              <w:autoSpaceDE w:val="0"/>
              <w:autoSpaceDN w:val="0"/>
            </w:pPr>
            <w:r/>
            <w:r>
              <w:rPr>
                <w:rFonts w:ascii="맑은 고딕" w:hAnsi="맑은 고딕" w:eastAsia="맑은 고딕" w:cs="맑은 고딕"/>
                <w:b w:val="0"/>
                <w:color w:val="000000"/>
                <w:sz w:val="19"/>
              </w:rPr>
              <w:t>① 보건복지부장관은 「지방세법」 제47조제4호 및 제6호에 따른 제조자 및 수입판매업자가 판매하는 같은 조 제1호에 따른 담배(같은 법 제54조에 따라 담배소비세가 면제되는 것, 같은 법 제63조제1항제1호 및 제2호에 따라 담배소비세액이 공제 또는 환급되는 것은 제외한다. 이하 이 조 및 제23조의2에서 같다)에 다음 각 호의 구분에 따른 부담금(이하 "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담배사업법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제1항</w:t>
            </w:r>
          </w:p>
        </w:tc>
        <w:tc>
          <w:tcPr>
            <w:tcW w:type="pct" w:w="3500"/>
          </w:tcPr>
          <w:p>
            <w:pPr>
              <w:autoSpaceDE w:val="0"/>
              <w:autoSpaceDN w:val="0"/>
            </w:pPr>
            <w:r/>
            <w:r>
              <w:rPr>
                <w:rFonts w:ascii="맑은 고딕" w:hAnsi="맑은 고딕" w:eastAsia="맑은 고딕" w:cs="맑은 고딕"/>
                <w:b w:val="0"/>
                <w:color w:val="000000"/>
                <w:sz w:val="19"/>
              </w:rPr>
              <w:t>① 법 제25조의3제1항에 따라 제조업자는 같은 조 제4항에 따라 연초 경작자의 영농기술 개발을 직접 지원하기 위하여 재정경제부장관의 승인을 받아 설립된 법인(이하 이 조에서 "지원법인"이라 한다)에 출연하여야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담배사업법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제2항</w:t>
            </w:r>
          </w:p>
        </w:tc>
        <w:tc>
          <w:tcPr>
            <w:tcW w:type="pct" w:w="3500"/>
          </w:tcPr>
          <w:p>
            <w:pPr>
              <w:autoSpaceDE w:val="0"/>
              <w:autoSpaceDN w:val="0"/>
            </w:pPr>
            <w:r/>
            <w:r>
              <w:rPr>
                <w:rFonts w:ascii="맑은 고딕" w:hAnsi="맑은 고딕" w:eastAsia="맑은 고딕" w:cs="맑은 고딕"/>
                <w:b w:val="0"/>
                <w:color w:val="000000"/>
                <w:sz w:val="19"/>
              </w:rPr>
              <w:t>② 제1항에 따라 출연하여야 하는 금액은 제조업자가 제조하여 판매하는 담배 중 궐련(「지방세법」 제48조제2항제1호가목에 따른 담배로서, 「지방세법」 제54조에 따라 담배소비세가 면제되는 것과 같은 법 제63조제1항제1호 및 제2호에 따라 담배소비세액이 공제 또는 환급되는 것은 제외한다. 이하 이 조에서 같다) 20개비당 5원으로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담배사업법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제17조 부칙 제1조</w:t>
            </w:r>
          </w:p>
        </w:tc>
        <w:tc>
          <w:tcPr>
            <w:tcW w:type="pct" w:w="3500"/>
          </w:tcPr>
          <w:p>
            <w:pPr>
              <w:autoSpaceDE w:val="0"/>
              <w:autoSpaceDN w:val="0"/>
            </w:pPr>
            <w:r/>
            <w:r>
              <w:rPr>
                <w:rFonts w:ascii="맑은 고딕" w:hAnsi="맑은 고딕" w:eastAsia="맑은 고딕" w:cs="맑은 고딕"/>
                <w:b w:val="0"/>
                <w:color w:val="000000"/>
                <w:sz w:val="19"/>
              </w:rPr>
              <w:t>① 법 제25조의3제1항에 따라 제조업자는 같은 조 제4항에 따라 연초 경작자의 영농기술 개발을 직접 지원하기 위하여 재정경제부장관의 승인을 받아 설립된 법인(이하 이 조에서 "지원법인"이라 한다)에 출연하여야 한다. ② 제1항에 따라 출연하여야 하는 금액은 제조업자가 제조하여 판매하는 담배 중 궐련(「지방세법」 제48조제2항제1호가목에 따른 담배로서, 「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담배사업법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w:t>
            </w:r>
          </w:p>
        </w:tc>
        <w:tc>
          <w:tcPr>
            <w:tcW w:type="pct" w:w="3500"/>
          </w:tcPr>
          <w:p>
            <w:pPr>
              <w:autoSpaceDE w:val="0"/>
              <w:autoSpaceDN w:val="0"/>
            </w:pPr>
            <w:r/>
            <w:r>
              <w:rPr>
                <w:rFonts w:ascii="맑은 고딕" w:hAnsi="맑은 고딕" w:eastAsia="맑은 고딕" w:cs="맑은 고딕"/>
                <w:b w:val="0"/>
                <w:color w:val="000000"/>
                <w:sz w:val="19"/>
              </w:rPr>
              <w:t>①법 제11조의3제1항에 따라 담배제조업을 양도하려는 자는 양도계약일부터 7일 이내에 별지 제4호서식의 담배제조업의 양도ㆍ양수신고서에 다음 각 호의 서류를 첨부하여 재정경제부장관에게 신고하여야 한다. ②법 제11조의3제1항에 따라 제조업자가 다른 법인과 합병하려는 경우에는 합병계약일부터 7일 이내에 별지 제5호서식의 담배제조업의 합병신고서에 다음 각 호의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지방세법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제52조 제1항 제1호 목</w:t>
            </w:r>
          </w:p>
        </w:tc>
        <w:tc>
          <w:tcPr>
            <w:tcW w:type="pct" w:w="3500"/>
          </w:tcPr>
          <w:p>
            <w:pPr>
              <w:autoSpaceDE w:val="0"/>
              <w:autoSpaceDN w:val="0"/>
            </w:pPr>
            <w:r/>
            <w:r>
              <w:rPr>
                <w:rFonts w:ascii="맑은 고딕" w:hAnsi="맑은 고딕" w:eastAsia="맑은 고딕" w:cs="맑은 고딕"/>
                <w:b w:val="0"/>
                <w:color w:val="000000"/>
                <w:sz w:val="19"/>
              </w:rPr>
              <w:t>① 담배소비세의 세율은 다음 각 호와 같다. 다만, 연초(연초를 원료로 한 니코틴을 포함한다)를 원료의 전부 또는 일부로 하여 제조한 담배가 아닌 담배에 대하여는 다음 각 호의 세율에 100분의 50을 곱한 세율을 적용한다.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지방세법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제53조</w:t>
            </w:r>
          </w:p>
        </w:tc>
        <w:tc>
          <w:tcPr>
            <w:tcW w:type="pct" w:w="3500"/>
          </w:tcPr>
          <w:p>
            <w:pPr>
              <w:autoSpaceDE w:val="0"/>
              <w:autoSpaceDN w:val="0"/>
            </w:pPr>
            <w:r/>
            <w:r>
              <w:rPr>
                <w:rFonts w:ascii="맑은 고딕" w:hAnsi="맑은 고딕" w:eastAsia="맑은 고딕" w:cs="맑은 고딕"/>
                <w:b w:val="0"/>
                <w:color w:val="000000"/>
                <w:sz w:val="19"/>
              </w:rPr>
              <w:t>① 다음 각 호의 어느 하나에 해당하는 담배에 대하여는 담배소비세를 징수하지 아니한다. ② 제1항에 따라 반입된 담배에 대해서는 그 반입장소를 제조장 또는 보세구역으로 보고, 반입자를 제조자 또는 수입판매업자로 보아 담배소비세의 부과 또는 면제에 관한 규정을 적용한다.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지방세법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제54조</w:t>
            </w:r>
          </w:p>
        </w:tc>
        <w:tc>
          <w:tcPr>
            <w:tcW w:type="pct" w:w="3500"/>
          </w:tcPr>
          <w:p>
            <w:pPr>
              <w:autoSpaceDE w:val="0"/>
              <w:autoSpaceDN w:val="0"/>
            </w:pPr>
            <w:r/>
            <w:r>
              <w:rPr>
                <w:rFonts w:ascii="맑은 고딕" w:hAnsi="맑은 고딕" w:eastAsia="맑은 고딕" w:cs="맑은 고딕"/>
                <w:b w:val="0"/>
                <w:color w:val="000000"/>
                <w:sz w:val="19"/>
              </w:rPr>
              <w:t>① 제조자 또는 수입판매업자가 담배를 다음 각 호의 어느 하나의 용도에 제공하는 경우에는 담배소비세를 면제한다. ② 입국자가 반입하는 담배로서 대통령령으로 정하는 범위의 담배에 대해서는 담배소비세를 면제한다.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지방세법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제151조 제1항 제4호</w:t>
            </w:r>
          </w:p>
        </w:tc>
        <w:tc>
          <w:tcPr>
            <w:tcW w:type="pct" w:w="3500"/>
          </w:tcPr>
          <w:p>
            <w:pPr>
              <w:autoSpaceDE w:val="0"/>
              <w:autoSpaceDN w:val="0"/>
            </w:pPr>
            <w:r/>
            <w:r>
              <w:rPr>
                <w:rFonts w:ascii="맑은 고딕" w:hAnsi="맑은 고딕" w:eastAsia="맑은 고딕" w:cs="맑은 고딕"/>
                <w:b w:val="0"/>
                <w:color w:val="000000"/>
                <w:sz w:val="19"/>
              </w:rPr>
              <w:t>① 지방교육세는 다음 각 호에 따라 산출한 금액을 그 세액으로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지방세법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제151조 부칙 제2조</w:t>
            </w:r>
          </w:p>
        </w:tc>
        <w:tc>
          <w:tcPr>
            <w:tcW w:type="pct" w:w="3500"/>
          </w:tcPr>
          <w:p>
            <w:pPr>
              <w:autoSpaceDE w:val="0"/>
              <w:autoSpaceDN w:val="0"/>
            </w:pPr>
            <w:r/>
            <w:r>
              <w:rPr>
                <w:rFonts w:ascii="맑은 고딕" w:hAnsi="맑은 고딕" w:eastAsia="맑은 고딕" w:cs="맑은 고딕"/>
                <w:b w:val="0"/>
                <w:color w:val="000000"/>
                <w:sz w:val="19"/>
              </w:rPr>
              <w:t>① 지방교육세는 다음 각 호에 따라 산출한 금액을 그 세액으로 한다. ② 지방자치단체의 장은 지방교육투자재원의 조달을 위하여 필요한 경우에는 해당 지방자치단체의 조례로 정하는 바에 따라 지방교육세의 세율을 제1항(같은 항 제3호는 제외한다)의 표준세율의 100분의 50의 범위에서 가감할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지방세법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제3조</w:t>
            </w:r>
          </w:p>
        </w:tc>
        <w:tc>
          <w:tcPr>
            <w:tcW w:type="pct" w:w="3500"/>
          </w:tcPr>
          <w:p>
            <w:pPr>
              <w:autoSpaceDE w:val="0"/>
              <w:autoSpaceDN w:val="0"/>
            </w:pPr>
            <w:r/>
            <w:r>
              <w:rPr>
                <w:rFonts w:ascii="맑은 고딕" w:hAnsi="맑은 고딕" w:eastAsia="맑은 고딕" w:cs="맑은 고딕"/>
                <w:b w:val="0"/>
                <w:color w:val="000000"/>
                <w:sz w:val="19"/>
              </w:rPr>
              <w:t>이 법에 따른 지방세를 부과ㆍ징수하는 지방자치단체는 「지방세기본법」 제8조 및 제9조의 지방자치단체의 세목 구분에 따라 해당 지방세의 과세 주체가 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개별소비세법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 제2항 제6호</w:t>
            </w:r>
          </w:p>
        </w:tc>
        <w:tc>
          <w:tcPr>
            <w:tcW w:type="pct" w:w="3500"/>
          </w:tcPr>
          <w:p>
            <w:pPr>
              <w:autoSpaceDE w:val="0"/>
              <w:autoSpaceDN w:val="0"/>
            </w:pPr>
            <w:r/>
            <w:r>
              <w:rPr>
                <w:rFonts w:ascii="맑은 고딕" w:hAnsi="맑은 고딕" w:eastAsia="맑은 고딕" w:cs="맑은 고딕"/>
                <w:b w:val="0"/>
                <w:color w:val="000000"/>
                <w:sz w:val="19"/>
              </w:rPr>
              <w:t>② 개별소비세를 부과할 물품(이하 "과세물품"이라 한다)과 그 세율은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개별소비세법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 부칙 제2조</w:t>
            </w:r>
          </w:p>
        </w:tc>
        <w:tc>
          <w:tcPr>
            <w:tcW w:type="pct" w:w="3500"/>
          </w:tcPr>
          <w:p>
            <w:pPr>
              <w:autoSpaceDE w:val="0"/>
              <w:autoSpaceDN w:val="0"/>
            </w:pPr>
            <w:r/>
            <w:r>
              <w:rPr>
                <w:rFonts w:ascii="맑은 고딕" w:hAnsi="맑은 고딕" w:eastAsia="맑은 고딕" w:cs="맑은 고딕"/>
                <w:b w:val="0"/>
                <w:color w:val="000000"/>
                <w:sz w:val="19"/>
              </w:rPr>
              <w:t>① 개별소비세는 특정한 물품, 특정한 장소 입장행위(入場行爲), 특정한 장소에서의 유흥음식행위(遊興飮食行爲) 및 특정한 장소에서의 영업행위에 대하여 부과한다. ② 개별소비세를 부과할 물품(이하 "과세물품"이라 한다)과 그 세율은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헌법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 제2항</w:t>
            </w:r>
          </w:p>
        </w:tc>
        <w:tc>
          <w:tcPr>
            <w:tcW w:type="pct" w:w="3500"/>
          </w:tcPr>
          <w:p>
            <w:pPr>
              <w:autoSpaceDE w:val="0"/>
              <w:autoSpaceDN w:val="0"/>
            </w:pPr>
            <w:r/>
            <w:r>
              <w:rPr>
                <w:rFonts w:ascii="맑은 고딕" w:hAnsi="맑은 고딕" w:eastAsia="맑은 고딕" w:cs="맑은 고딕"/>
                <w:b w:val="0"/>
                <w:color w:val="000000"/>
                <w:sz w:val="19"/>
              </w:rPr>
              <w:t>이 규칙에서 정한 것 외에 위원회의 운영에 필요한 사항은 위원회의 규정으로 정한다.</w:t>
            </w:r>
          </w:p>
        </w:tc>
      </w:tr>
    </w:tbl>
    <w:p>
      <w:pPr>
        <w:pStyle w:val="2"/>
      </w:pPr>
      <w:r>
        <w:t>핵심 요약</w:t>
      </w:r>
    </w:p>
    <w:p>
      <w:pPr/>
      <w:r>
        <w:t>담뱃세 인상 직전에 세금 차액을 노리고 담배를 일시적 방편으로 마련한 창고로 옮긴 것은 '제조장에서 반출'한 것으로 인정되지 않습니다.</w:t>
      </w:r>
    </w:p>
    <w:p>
      <w:pPr/>
      <w:r>
        <w:t>대법원은 통상적인 거래 형태를 벗어난 임시 이동은 반출이 아니며, 실제로 다시 반출한 시점의 개정 세율이 적용된다고 보았습니다.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https://www.law.go.kr/판례/(2021두35834)</w:t>
      </w:r>
    </w:p>
    <w:p>
      <w:pPr>
        <w:autoSpaceDE w:val="0"/>
        <w:autoSpaceDN w:val="0"/>
        <w:spacing w:before="80"/>
      </w:pPr>
      <w:r>
        <w:rPr>
          <w:rFonts w:ascii="맑은 고딕" w:hAnsi="맑은 고딕" w:eastAsia="맑은 고딕" w:cs="맑은 고딕"/>
          <w:color w:val="000000"/>
          <w:sz w:val="18"/>
        </w:rPr>
        <w:t>태그  #폐기물판례 #폐기물부담금 #행정판례 #대법원판례 #2024년판례 #2021두35834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