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제10호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제1항제6호에 따른 기한은 의견제출에 필요한 기간을 10일 이상으로 고려하여 정하여야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제4항</w:t>
            </w:r>
          </w:p>
        </w:tc>
        <w:tc>
          <w:tcPr>
            <w:tcW w:type="pct" w:w="3500"/>
          </w:tcPr>
          <w:p>
            <w:pPr>
              <w:autoSpaceDE w:val="0"/>
              <w:autoSpaceDN w:val="0"/>
            </w:pPr>
            <w:r/>
            <w:r>
              <w:rPr>
                <w:rFonts w:ascii="맑은 고딕" w:hAnsi="맑은 고딕" w:eastAsia="맑은 고딕" w:cs="맑은 고딕"/>
                <w:b w:val="0"/>
                <w:color w:val="000000"/>
                <w:sz w:val="19"/>
              </w:rPr>
              <w:t>④ 다음 각 호의 어느 하나에 해당하는 경우에는 제1항에 따른 통지를 하지 아니할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bl>
    <w:p>
      <w:pPr>
        <w:pStyle w:val="2"/>
      </w:pPr>
      <w:r>
        <w:t>핵심 요약</w:t>
      </w:r>
    </w:p>
    <w:p>
      <w:pPr/>
      <w:r>
        <w:t>폐기물 조치명령 위반죄로 처벌하려면 그 조치명령 자체가 적법해야 합니다.</w:t>
      </w:r>
    </w:p>
    <w:p>
      <w:pPr/>
      <w:r>
        <w:t>대법원은 조치명령이 당연무효까지는 아니어도 위법하면, 특히 사전통지나 의견제출 기회를 주지 않은 절차적 하자가 있으면 위반죄가 성립하지 않는다고 보았습니다.</w:t>
      </w:r>
    </w:p>
    <w:p>
      <w:pPr/>
      <w:r>
        <w:t>행정청은 조치명령을 내릴 때 행정절차법상 사전통지와 의견청취 절차를 빠짐없이 지켜야 명령의 실효성을 확보할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