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피고 주식회사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제734조</w:t>
            </w:r>
          </w:p>
        </w:tc>
        <w:tc>
          <w:tcPr>
            <w:tcW w:type="pct" w:w="3500"/>
          </w:tcPr>
          <w:p>
            <w:pPr>
              <w:autoSpaceDE w:val="0"/>
              <w:autoSpaceDN w:val="0"/>
            </w:pPr>
            <w:r/>
            <w:r>
              <w:rPr>
                <w:rFonts w:ascii="맑은 고딕" w:hAnsi="맑은 고딕" w:eastAsia="맑은 고딕" w:cs="맑은 고딕"/>
                <w:b w:val="0"/>
                <w:color w:val="000000"/>
                <w:sz w:val="19"/>
              </w:rPr>
              <w:t>①의무없이 타인을 위하여 사무를 관리하는 자는 그 사무의 성질에 좇아 가장 본인에게 이익되는 방법으로 이를 관리하여야 한다. ②관리자가 본인의 의사를 알거나 알 수 있는 때에는 그 의사에 적합하도록 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제739조 제1항</w:t>
            </w:r>
          </w:p>
        </w:tc>
        <w:tc>
          <w:tcPr>
            <w:tcW w:type="pct" w:w="3500"/>
          </w:tcPr>
          <w:p>
            <w:pPr>
              <w:autoSpaceDE w:val="0"/>
              <w:autoSpaceDN w:val="0"/>
            </w:pPr>
            <w:r/>
            <w:r>
              <w:rPr>
                <w:rFonts w:ascii="맑은 고딕" w:hAnsi="맑은 고딕" w:eastAsia="맑은 고딕" w:cs="맑은 고딕"/>
                <w:b w:val="0"/>
                <w:color w:val="000000"/>
                <w:sz w:val="19"/>
              </w:rPr>
              <w:t>①관리자가 본인을 위하여 필요비 또는 유익비를 지출한 때에는 본인에 대하여 그 상환을 청구할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