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법인 대표자의 폐기물법 위반, 양벌규정으로 법인을 처벌해도 합헌입니다</w:t>
      </w:r>
    </w:p>
    <w:p>
      <w:pPr>
        <w:pStyle w:val="law1"/>
        <w:autoSpaceDE w:val="0"/>
        <w:autoSpaceDN w:val="0"/>
        <w:spacing w:after="160"/>
      </w:pPr>
      <w:r>
        <w:rPr>
          <w:rFonts w:ascii="맑은 고딕" w:hAnsi="맑은 고딕" w:eastAsia="맑은 고딕" w:cs="맑은 고딕"/>
          <w:color w:val="000000"/>
        </w:rPr>
        <w:t>대법원 2009도3876 (2010.09.30 선고)</w:t>
      </w:r>
    </w:p>
    <w:p>
      <w:pPr>
        <w:autoSpaceDE w:val="0"/>
        <w:autoSpaceDN w:val="0"/>
        <w:spacing w:after="120"/>
      </w:pPr>
      <w:r>
        <w:rPr>
          <w:rFonts w:ascii="맑은 고딕" w:hAnsi="맑은 고딕" w:eastAsia="맑은 고딕" w:cs="맑은 고딕"/>
          <w:color w:val="000000"/>
        </w:rPr>
        <w:t>○ 폐기물관리법 양벌규정에 따라 대표자의 위반행위로 법인을 처벌하는 것이 형벌의 자기책임원칙에 반하는지가 문제된 사건입니다. 대법원은 대표자의 위반에 대한 법인의 책임은 법인 자신의 직접책임이므로 위헌이 아니라고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대표자의 폐기물법 위반으로 법인을 처벌하는 양벌규정은 위헌인가요?</w:t>
            </w:r>
          </w:p>
          <w:p>
            <w:pPr>
              <w:autoSpaceDE w:val="0"/>
              <w:autoSpaceDN w:val="0"/>
            </w:pPr>
            <w:r>
              <w:rPr>
                <w:rFonts w:ascii="맑은 고딕" w:hAnsi="맑은 고딕" w:eastAsia="맑은 고딕" w:cs="맑은 고딕"/>
                <w:b w:val="0"/>
                <w:color w:val="000000"/>
                <w:sz w:val="19"/>
              </w:rPr>
              <w:t>A. 아니요. 대표자의 책임을 요건으로 법인을 처벌하는 것은 법인의 직접책임을 묻는 것이어서 형벌의 자기책임원칙에 반하지 않습니다.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2009도3876</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2010.09.30</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쟁점</w:t>
      </w:r>
    </w:p>
    <w:p>
      <w:pPr>
        <w:autoSpaceDE w:val="0"/>
        <w:autoSpaceDN w:val="0"/>
      </w:pPr>
      <w:r>
        <w:rPr>
          <w:rFonts w:ascii="맑은 고딕" w:hAnsi="맑은 고딕" w:eastAsia="맑은 고딕" w:cs="맑은 고딕"/>
          <w:color w:val="000000"/>
        </w:rPr>
        <w:t>[1] 폐기물관리법 제67조 제1항에서 ‘양벌규정’을 둔 취지 및 ‘법인 대표자’의 법규위반행위에 대한 ‘법인’ 책임의 법적 성격(=법인의 직접책임)</w:t>
      </w:r>
      <w:r>
        <w:rPr>
          <w:rFonts w:ascii="맑은 고딕" w:hAnsi="맑은 고딕" w:eastAsia="맑은 고딕" w:cs="맑은 고딕"/>
          <w:color w:val="000000"/>
        </w:rPr>
        <w:br/>
      </w:r>
      <w:r>
        <w:rPr>
          <w:rFonts w:ascii="맑은 고딕" w:hAnsi="맑은 고딕" w:eastAsia="맑은 고딕" w:cs="맑은 고딕"/>
          <w:color w:val="000000"/>
        </w:rPr>
        <w:t>[2] 폐기물관리법 제67조 제1항의 양벌규정 중 ‘법인의 대표자’ 관련 부분은 대표자의 책임을 요건으로 법인을 처벌하는 것이므로, 위 규정에 근거한 형사처벌이 형벌의 자기책임원칙에 반하여 헌법에 위배된다고 볼 수 없다고 한 사례</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판단</w:t>
      </w:r>
    </w:p>
    <w:p>
      <w:pPr>
        <w:autoSpaceDE w:val="0"/>
        <w:autoSpaceDN w:val="0"/>
      </w:pPr>
      <w:r>
        <w:rPr>
          <w:rFonts w:ascii="맑은 고딕" w:hAnsi="맑은 고딕" w:eastAsia="맑은 고딕" w:cs="맑은 고딕"/>
          <w:color w:val="000000"/>
        </w:rPr>
        <w:t>① 상고이유를 살펴본다.</w:t>
      </w:r>
      <w:r>
        <w:rPr>
          <w:rFonts w:ascii="맑은 고딕" w:hAnsi="맑은 고딕" w:eastAsia="맑은 고딕" w:cs="맑은 고딕"/>
          <w:color w:val="000000"/>
        </w:rPr>
        <w:br/>
      </w:r>
      <w:r>
        <w:rPr>
          <w:rFonts w:ascii="맑은 고딕" w:hAnsi="맑은 고딕" w:eastAsia="맑은 고딕" w:cs="맑은 고딕"/>
          <w:color w:val="000000"/>
        </w:rPr>
        <w:t>② 폐기물관리법 제67조 제1항(이하 ‘이 사건 법률조항’이라 한다)은 법인의 대표자가 그 법인의 업무에 관하여제63조부터제66조까지의 규정에 따른 위반행위를 하면 그 행위자를 벌할 뿐만 아니라 그 법인도 해당 조문의 벌금형을 과한다고 규정하여 법인의 대표자가 그 업무와 관련하여 위반행위를 저지른 경우 그 법인에 대하여도 처벌하는 양벌규정을 두고 있다.</w:t>
      </w:r>
      <w:r>
        <w:rPr>
          <w:rFonts w:ascii="맑은 고딕" w:hAnsi="맑은 고딕" w:eastAsia="맑은 고딕" w:cs="맑은 고딕"/>
          <w:color w:val="000000"/>
        </w:rPr>
        <w:br/>
      </w:r>
      <w:r>
        <w:rPr>
          <w:rFonts w:ascii="맑은 고딕" w:hAnsi="맑은 고딕" w:eastAsia="맑은 고딕" w:cs="맑은 고딕"/>
          <w:color w:val="000000"/>
        </w:rPr>
        <w:t>③ 폐기물관리법에서 위와 같이 양벌규정을 따로 둔 취지는, 이 사건 법률조항이 적용되는 위반행위는 통상 개인적인 차원보다는 법인의 업무와 관련하여 반복적·계속적으로 이루어질 가능성이 크다는 점을 감안하여, 법인의 대표자가 그 업무와 관련하여 위반행위를 저지른 경우에는 그 법인도 형사처벌 대상으로 삼음으로써 위와 같은 위반행위 발생을 방지하고 위 조항의 규범력을 확보하려는 데 있다.</w:t>
      </w:r>
      <w:r>
        <w:rPr>
          <w:rFonts w:ascii="맑은 고딕" w:hAnsi="맑은 고딕" w:eastAsia="맑은 고딕" w:cs="맑은 고딕"/>
          <w:color w:val="000000"/>
        </w:rPr>
        <w:br/>
      </w:r>
      <w:r>
        <w:rPr>
          <w:rFonts w:ascii="맑은 고딕" w:hAnsi="맑은 고딕" w:eastAsia="맑은 고딕" w:cs="맑은 고딕"/>
          <w:color w:val="000000"/>
        </w:rPr>
        <w:t>④ 또한, 법인은 기관을 통하여 행위하므로 법인이 대표자를 선임한 이상 그의 행위로 인한 법률효과는 법인에게 귀속되어야 하고, 법인 대표자의 범죄행위에 대하여는 법인 자신이 책임을 져야 하는바, 법인 대표자의 법규위반행위에 대한 법인의 책임은 법인 자신의 법규위반행위로 평가될 수 있는 행위에 대한 법인의 직접책임으로서, 대표자의 고의에 의한 위반행위에 대하여는 법인 자신의 고의에 의한 책임을, 대표자의 과실에 의한 위반행위에 대하여는 법인 자신의 과실에 의한 책임을 지는 것이다(헌법재판소 2010. 7. 29. 선고 2009헌가25 전원재판부 결정 참조). 따라서 이 사건 법률조항 중 법인의 대표자 관련 부분은 대표자의 책임을 요건으로 하여 법인을 처벌하는 것이므로 위 양벌규정에 근거한 형사처벌이 형벌의 자기책임원칙에 반하여 헌법에 위배된다고 볼 수 없다.</w:t>
      </w:r>
      <w:r>
        <w:rPr>
          <w:rFonts w:ascii="맑은 고딕" w:hAnsi="맑은 고딕" w:eastAsia="맑은 고딕" w:cs="맑은 고딕"/>
          <w:color w:val="000000"/>
        </w:rPr>
        <w:br/>
      </w:r>
      <w:r>
        <w:rPr>
          <w:rFonts w:ascii="맑은 고딕" w:hAnsi="맑은 고딕" w:eastAsia="맑은 고딕" w:cs="맑은 고딕"/>
          <w:color w:val="000000"/>
        </w:rPr>
        <w:t>⑤ 상고이유에서 지적하고 있는 헌법재판소 결정은 이 사건과 같이 법인의 대표자가 행위자인 경우가 아니라 법인 또는 개인의 대리인, 사용인 기타 종업원이 행위자인 경우에 관한 것으로서 이 사건에 그대로 원용하기에 부적절하다.</w:t>
      </w:r>
      <w:r>
        <w:rPr>
          <w:rFonts w:ascii="맑은 고딕" w:hAnsi="맑은 고딕" w:eastAsia="맑은 고딕" w:cs="맑은 고딕"/>
          <w:color w:val="000000"/>
        </w:rPr>
        <w:br/>
      </w:r>
      <w:r>
        <w:rPr>
          <w:rFonts w:ascii="맑은 고딕" w:hAnsi="맑은 고딕" w:eastAsia="맑은 고딕" w:cs="맑은 고딕"/>
          <w:color w:val="000000"/>
        </w:rPr>
        <w:t>⑥ 원심판결 및 제1심판결이 채용한 증거들을 기록에 비추어 살펴보면, 원심이 그 판시와 같은 이유에서피고인 1이 이 사건 폐기물처리시설을 설치·사용하였고, 오염물질 자동측정기기를 부착하지 않은 채 조업한 행위자에 해당한다고 인정한 것은 정당하고, 거기에 상고이유에서 주장하는 바와 같은 채증법칙 위반 등의 잘못이 없다.</w:t>
      </w:r>
      <w:r>
        <w:rPr>
          <w:rFonts w:ascii="맑은 고딕" w:hAnsi="맑은 고딕" w:eastAsia="맑은 고딕" w:cs="맑은 고딕"/>
          <w:color w:val="000000"/>
        </w:rPr>
        <w:br/>
      </w:r>
      <w:r>
        <w:rPr>
          <w:rFonts w:ascii="맑은 고딕" w:hAnsi="맑은 고딕" w:eastAsia="맑은 고딕" w:cs="맑은 고딕"/>
          <w:color w:val="000000"/>
        </w:rPr>
        <w:t>⑦ 그러므로 상고를 모두 기각하기로 하여, 관여 대법관의 일치된 의견으로 주문과 같이 판결한다.</w:t>
      </w:r>
      <w:r>
        <w:rPr>
          <w:rFonts w:ascii="맑은 고딕" w:hAnsi="맑은 고딕" w:eastAsia="맑은 고딕" w:cs="맑은 고딕"/>
          <w:color w:val="000000"/>
        </w:rPr>
        <w:br/>
      </w:r>
      <w:r>
        <w:rPr>
          <w:rFonts w:ascii="맑은 고딕" w:hAnsi="맑은 고딕" w:eastAsia="맑은 고딕" w:cs="맑은 고딕"/>
          <w:color w:val="000000"/>
        </w:rPr>
        <w:t>⑧ 대법관 이홍훈(재판장) 김능환 민일영(주심) 이인복</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제67조 제1항</w:t>
            </w:r>
          </w:p>
        </w:tc>
        <w:tc>
          <w:tcPr>
            <w:tcW w:type="pct" w:w="3500"/>
          </w:tcPr>
          <w:p>
            <w:pPr>
              <w:autoSpaceDE w:val="0"/>
              <w:autoSpaceDN w:val="0"/>
            </w:pPr>
            <w:r/>
            <w:r>
              <w:rPr>
                <w:rFonts w:ascii="맑은 고딕" w:hAnsi="맑은 고딕" w:eastAsia="맑은 고딕" w:cs="맑은 고딕"/>
                <w:b w:val="0"/>
                <w:color w:val="000000"/>
                <w:sz w:val="19"/>
              </w:rPr>
              <w:t>법인의 대표자나 법인 또는 개인의 대리인, 사용인, 그 밖의 종업원이 그 법인 또는 개인의 업무에 관하여 제63조부터 제66조까지의 어느 하나에 해당하는 위반행위를 하면 그 행위자를 벌하는 외에 그 법인 또는 개인에게도 해당 조문의 벌금형을 과(科)한다. 다만, 법인 또는 개인이 그 위반행위를 방지하기 위하여 해당 업무에 관하여 상당한 주의와 감독을 게을리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형법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제1조 제1항</w:t>
            </w:r>
          </w:p>
        </w:tc>
        <w:tc>
          <w:tcPr>
            <w:tcW w:type="pct" w:w="3500"/>
          </w:tcPr>
          <w:p>
            <w:pPr>
              <w:autoSpaceDE w:val="0"/>
              <w:autoSpaceDN w:val="0"/>
            </w:pPr>
            <w:r/>
            <w:r>
              <w:rPr>
                <w:rFonts w:ascii="맑은 고딕" w:hAnsi="맑은 고딕" w:eastAsia="맑은 고딕" w:cs="맑은 고딕"/>
                <w:b w:val="0"/>
                <w:color w:val="000000"/>
                <w:sz w:val="19"/>
              </w:rPr>
              <w:t>① 범죄의 성립과 처벌은 행위 시의 법률에 따른다.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헌법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제10조</w:t>
            </w:r>
          </w:p>
        </w:tc>
        <w:tc>
          <w:tcPr>
            <w:tcW w:type="pct" w:w="3500"/>
          </w:tcPr>
          <w:p>
            <w:pPr>
              <w:autoSpaceDE w:val="0"/>
              <w:autoSpaceDN w:val="0"/>
            </w:pPr>
            <w:r/>
            <w:r>
              <w:rPr>
                <w:rFonts w:ascii="맑은 고딕" w:hAnsi="맑은 고딕" w:eastAsia="맑은 고딕" w:cs="맑은 고딕"/>
                <w:b w:val="0"/>
                <w:color w:val="000000"/>
                <w:sz w:val="19"/>
              </w:rPr>
              <w:t>① 위원회는 위원장과 부위원장 각 1명을 포함한 13명의 위원으로 구성한다. ② 위원회의 위원장을 포함한 9명의 위원은 변호사ㆍ교육자ㆍ학식과 덕망이 있는 사람 또는 시민단체(「비영리민간단체지원법」 제2조에 따른 비영리민간단체를 말한다)에서 추천한 사람 중에서, 부위원장을 포함한 4명의 위원은 헌법재판소 공무원 중에서 헌법재판소장이 위촉 또는 임명한다.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헌법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제12조 제1항</w:t>
            </w:r>
          </w:p>
        </w:tc>
        <w:tc>
          <w:tcPr>
            <w:tcW w:type="pct" w:w="3500"/>
          </w:tcPr>
          <w:p>
            <w:pPr>
              <w:autoSpaceDE w:val="0"/>
              <w:autoSpaceDN w:val="0"/>
            </w:pPr>
            <w:r/>
            <w:r>
              <w:rPr>
                <w:rFonts w:ascii="맑은 고딕" w:hAnsi="맑은 고딕" w:eastAsia="맑은 고딕" w:cs="맑은 고딕"/>
                <w:b w:val="0"/>
                <w:color w:val="000000"/>
                <w:sz w:val="19"/>
              </w:rPr>
              <w:t>① 위원회의 사무를 처리하고 사실조사 등을 하기 위하여 위원회에 간사 및 사무직원을 둔다.</w:t>
            </w:r>
          </w:p>
        </w:tc>
      </w:tr>
    </w:tbl>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https://www.law.go.kr/판례/(2009도3876)</w:t>
      </w:r>
    </w:p>
    <w:p>
      <w:pPr>
        <w:autoSpaceDE w:val="0"/>
        <w:autoSpaceDN w:val="0"/>
        <w:spacing w:before="80"/>
      </w:pPr>
      <w:r>
        <w:rPr>
          <w:rFonts w:ascii="맑은 고딕" w:hAnsi="맑은 고딕" w:eastAsia="맑은 고딕" w:cs="맑은 고딕"/>
          <w:color w:val="000000"/>
          <w:sz w:val="18"/>
        </w:rPr>
        <w:t>태그  #폐기물관리법판례 #형사판례 #대법원판례 #2010년판례 #2009도3876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