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설치비용 부담금 조례가 주민편익시설을 포함하면 위임 한계를 벗어나 무효입니다</w:t>
      </w:r>
    </w:p>
    <w:p>
      <w:pPr>
        <w:pStyle w:val="law1"/>
        <w:autoSpaceDE w:val="0"/>
        <w:autoSpaceDN w:val="0"/>
        <w:spacing w:after="160"/>
      </w:pPr>
      <w:r>
        <w:rPr>
          <w:rFonts w:ascii="맑은 고딕" w:hAnsi="맑은 고딕" w:eastAsia="맑은 고딕" w:cs="맑은 고딕"/>
          <w:color w:val="000000"/>
        </w:rPr>
        <w:t>대법원 2016두35229 (2018.11.29 선고)</w:t>
      </w:r>
    </w:p>
    <w:p>
      <w:pPr>
        <w:autoSpaceDE w:val="0"/>
        <w:autoSpaceDN w:val="0"/>
        <w:spacing w:after="120"/>
      </w:pPr>
      <w:r>
        <w:rPr>
          <w:rFonts w:ascii="맑은 고딕" w:hAnsi="맑은 고딕" w:eastAsia="맑은 고딕" w:cs="맑은 고딕"/>
          <w:color w:val="000000"/>
        </w:rPr>
        <w:t>○ 설치비용 산정 부지면적에 주민편익시설 면적을 포함시킨 조례의 효력이 문제된 사건입니다. 대법원은 주민편익시설은 포함 대상이 아니며,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주민편익시설을 포함해 설치비용을 산정한 조례가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2016두35229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2018.11.29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서울주택도시공사 · 피고 서울특별시 서초구청장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법률(2013. 8. 13. 법률 제12077호로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시행령(2014. 2. 11. 대통령령 제25165호로 개정되기 전의 것, 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서초구 폐기물처리시설 설치비용 징수와 기금설치 및 운용에 관한 조례」(이하 ‘이 사건 조례’라 한다) 제5조의2는 부지매입에 드는 비용을 부지매입단가와 부지면적을 곱한 금액으로 규정하고 있다.</w:t>
      </w:r>
      <w:r>
        <w:rPr>
          <w:rFonts w:ascii="맑은 고딕" w:hAnsi="맑은 고딕" w:eastAsia="맑은 고딕" w:cs="맑은 고딕"/>
          <w:color w:val="000000"/>
        </w:rPr>
        <w:br/>
      </w:r>
      <w:r>
        <w:rPr>
          <w:rFonts w:ascii="맑은 고딕" w:hAnsi="맑은 고딕" w:eastAsia="맑은 고딕" w:cs="맑은 고딕"/>
          <w:color w:val="000000"/>
        </w:rPr>
        <w:t>③ 그런데 같은 조 제2호(이하 ‘이 사건 조례규정’이라 한다)에서는 부지면적을 시설설치, 주민편익시설 설치 및 주변 녹지대 설치에 필요한 면적을 합하여 산출하도록 규정하고, 그 구체적 기준을 정한 [별표 1]에서도 총 부지면적에 시설부지면적(폐기물처리시설, 관리동, 세차동 등 기타시설 면적)의 10%에 해당하는 주민편익시설 면적을 포함하도록 규정함으로써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④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w:t>
      </w:r>
      <w:r>
        <w:rPr>
          <w:rFonts w:ascii="맑은 고딕" w:hAnsi="맑은 고딕" w:eastAsia="맑은 고딕" w:cs="맑은 고딕"/>
          <w:color w:val="000000"/>
        </w:rPr>
        <w:br/>
      </w:r>
      <w:r>
        <w:rPr>
          <w:rFonts w:ascii="맑은 고딕" w:hAnsi="맑은 고딕" w:eastAsia="맑은 고딕" w:cs="맑은 고딕"/>
          <w:color w:val="000000"/>
        </w:rPr>
        <w:t>⑥ 그 이유는 다음과 같다.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⑦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t>⑧ 이와 같이 주민편익시설을 설치할 의무는 지방자치단체의 장 등에게 있고 사업시행자에게는 그 의무가 없다. ④ 폐기물시설촉진법은 폐기물처리시설 설치기관에게 주민편익시설 설치의무를 부과하였으므로, 폐기물처리시설 설치기관이 그 설치비용을 부담하는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 xml:space="preserve">[1] 지방자치법 제22조, 행정규제기본법 제4조 제3항에 따르면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효력이 없다. </w:t>
      </w:r>
      <w:r>
        <w:rPr>
          <w:rFonts w:ascii="맑은 고딕" w:hAnsi="맑은 고딕" w:eastAsia="맑은 고딕" w:cs="맑은 고딕"/>
          <w:color w:val="000000"/>
        </w:rPr>
        <w:br/>
      </w:r>
      <w:r>
        <w:rPr>
          <w:rFonts w:ascii="맑은 고딕" w:hAnsi="맑은 고딕" w:eastAsia="맑은 고딕" w:cs="맑은 고딕"/>
          <w:color w:val="000000"/>
        </w:rPr>
        <w:t xml:space="preserve">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rPr>
        <w:t>[2] 폐기물처리시설 설치촉진 및 주변지역지원 등에 관한 법령 규정의 문언 및 체제 등에 비추어 보면, 사업시행자가 설치하여야 하는 폐기물처리시설에는 주민편익시설이 포함되지 않고, 폐기물처리시설 설치비용 해당 금액에도 주민편익시설 설치비용이 포함되지 않는다.</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법률(2013. 8. 13. 법률 제12077호로 개정되기 전의 것, 이하 ‘폐기물시설촉진법’이라 한다)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폐기물시설촉진법령의 가능한 해석범위를 넘어 이를 확장함으로써 위임의 한계를 벗어난 새로운 입법을 한 것과 다름없으므로 효력이 없고, 사업시행자가 주민편익시설 설치비용을 부담하도록 할 필요성 또는 타당성이 있다는 사정만으로 그 법령 문언의 해석상 예측가능한 범위를 벗어나 사업시행자에게 새로운 비용부담의무를 부과하는 내용으로 제정된 조례 규정에 대하여 효력을 인정할 수는 없는데도, 이와 달리 위 조례 규정이 무효라고 볼 수 없고 조례 규정에 따라 부지면적 산정 시 주민편익시설의 면적을 포함시킨 위 처분이 적법하다고 판단한 원심판결에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https://www.law.go.kr/판례/(2016두35229)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#2018년판례 #2016두35229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