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관리동·세차동 부지도 포함해 산정할 수 있습니다</w:t>
      </w:r>
    </w:p>
    <w:p>
      <w:pPr>
        <w:pStyle w:val="law1"/>
        <w:autoSpaceDE w:val="0"/>
        <w:autoSpaceDN w:val="0"/>
        <w:spacing w:after="160"/>
      </w:pPr>
      <w:r>
        <w:rPr>
          <w:rFonts w:ascii="맑은 고딕" w:hAnsi="맑은 고딕" w:eastAsia="맑은 고딕" w:cs="맑은 고딕"/>
          <w:color w:val="000000"/>
        </w:rPr>
        <w:t>대법원 2016두61044 (2019.07.10 선고)</w:t>
      </w:r>
    </w:p>
    <w:p>
      <w:pPr>
        <w:autoSpaceDE w:val="0"/>
        <w:autoSpaceDN w:val="0"/>
        <w:spacing w:after="120"/>
      </w:pPr>
      <w:r>
        <w:rPr>
          <w:rFonts w:ascii="맑은 고딕" w:hAnsi="맑은 고딕" w:eastAsia="맑은 고딕" w:cs="맑은 고딕"/>
          <w:color w:val="000000"/>
        </w:rPr>
        <w:t>○ 설치비용 부담금 산정 시 관리동·세차동 등 기타시설의 부지면적을 포함시킨 조례가 위임 한계를 벗어났는지가 문제된 사건입니다. 대법원은 상위법령을 구체화한 것에 불과해 무효가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관리동·세차동 등 기타시설을 포함해 설치비용을 산정한 조례가 무효인가요?</w:t>
            </w:r>
          </w:p>
          <w:p>
            <w:pPr>
              <w:autoSpaceDE w:val="0"/>
              <w:autoSpaceDN w:val="0"/>
            </w:pPr>
            <w:r>
              <w:rPr>
                <w:rFonts w:ascii="맑은 고딕" w:hAnsi="맑은 고딕" w:eastAsia="맑은 고딕" w:cs="맑은 고딕"/>
                <w:b w:val="0"/>
                <w:color w:val="000000"/>
                <w:sz w:val="19"/>
              </w:rPr>
              <w:t>A. 아니요. 상위법령을 구체화한 것에 불과하고 위임의 한계를 벗어나지 않았으므로 무효로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완주군수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rPr>
        <w:t>[2] 군수가 구 폐기물처리시설 설치촉진 및 주변지역지원 등에 관한 법률 제6조 등에 따라 폐기물처리시설 설치비용에 해당하는 금액을 납부하기로 한 혁신도시 개발사업 시행자에게 ‘완주군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r>
        <w:rPr>
          <w:rFonts w:ascii="맑은 고딕" w:hAnsi="맑은 고딕" w:eastAsia="맑은 고딕" w:cs="맑은 고딕"/>
          <w:color w:val="000000"/>
        </w:rPr>
        <w:br/>
      </w:r>
      <w:r>
        <w:rPr>
          <w:rFonts w:ascii="맑은 고딕" w:hAnsi="맑은 고딕" w:eastAsia="맑은 고딕" w:cs="맑은 고딕"/>
          <w:color w:val="000000"/>
        </w:rPr>
        <w:t>[3]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② 원고의 상고이유에 대하여 주민편익시설 설치에 필요한 면적을 가산하는 것은 위법하다는 주장에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 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③ 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t>④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⑥ 부지매입단가, 소각시설 부지면적, 시설설치단가 산정이 위법하다는 주장에 관하여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t>⑦ 이 사건 조례 제4조 제1호에서는 부지매입단가는 개발하고자 하는 당해 공동주택단지나 택지의 ‘㎡당 조성원가’를 기준으로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⑧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t>⑨ 이와 같이 해석하는 한 위 조례규정이 상위법령의 위임의 한계를 벗어났다고 볼 수 없다(대법원 2016. 12. 15. 선고 2013두8431 판결 참조).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 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⑩ 기록을 살펴보면, 해당 사업지구 바깥의 토지가 시설부지로 확정된 경우가 아니라는 원심의 판단에 논리와 경험의 법칙에 반하여 자유심증주의의 한계를 벗어나거나 관련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t>⑪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t>⑫ 음식물폐기물처리시설 규모지수를 적용한 것이 위법하다는 주장에 관하여 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⑬ 관련 법리에 따라 기록을 살펴보면, 원심의 위와 같은 판단에 폐기물시설촉진법상 폐기물처리시설 설치비용 해당 금액 산정 등에 관한 법리를 오해한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규제는 법률에 근거하여야 하며, 그 내용은 알기 쉬운 용어로 구체적이고 명확하게 규정되어야 한다. ② 규제는 법률에 직접 규정하되, 규제의 세부적인 내용은 법률 또는 상위법령(上位法令)에서 구체적으로 범위를 정하여 위임한 바에 따라 대통령령ㆍ총리령ㆍ부령 또는 조례ㆍ규칙으로 정할 수 있다. 다만, 법령에서 전문적ㆍ기술적 사항이나 경미한 사항으로서 업무의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https://www.law.go.kr/판례/(2016두61044)</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