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t>②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③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③ 폐기물관리법 제31조 제1항의 ‘폐기물처리시설을 설치·운영하는 자’에 관한 법리오해 주장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w:t>
      </w:r>
      <w:r>
        <w:rPr>
          <w:rFonts w:ascii="맑은 고딕" w:hAnsi="맑은 고딕" w:eastAsia="맑은 고딕" w:cs="맑은 고딕"/>
          <w:color w:val="000000"/>
        </w:rPr>
        <w:br/>
      </w:r>
      <w:r>
        <w:rPr>
          <w:rFonts w:ascii="맑은 고딕" w:hAnsi="맑은 고딕" w:eastAsia="맑은 고딕" w:cs="맑은 고딕"/>
          <w:color w:val="000000"/>
        </w:rPr>
        <w:t>④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⑥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w:t>
      </w:r>
      <w:r>
        <w:rPr>
          <w:rFonts w:ascii="맑은 고딕" w:hAnsi="맑은 고딕" w:eastAsia="맑은 고딕" w:cs="맑은 고딕"/>
          <w:color w:val="000000"/>
        </w:rPr>
        <w:br/>
      </w:r>
      <w:r>
        <w:rPr>
          <w:rFonts w:ascii="맑은 고딕" w:hAnsi="맑은 고딕" w:eastAsia="맑은 고딕" w:cs="맑은 고딕"/>
          <w:color w:val="000000"/>
        </w:rPr>
        <w:t>⑦ 이러한 양벌규정은 해당 업무를 실제로 집행하는 자에 대한 처벌의 근거 규정이 된다(대법원 2007. 12. 28. 선고 2007도8401 판결 참조).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t>⑧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⑨ 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t>⑩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⑪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color w:val="000000"/>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제31조 제1항</w:t>
            </w:r>
          </w:p>
        </w:tc>
        <w:tc>
          <w:tcPr>
            <w:tcW w:type="pct" w:w="3500"/>
          </w:tcPr>
          <w:p>
            <w:pPr>
              <w:autoSpaceDE w:val="0"/>
              <w:autoSpaceDN w:val="0"/>
            </w:pPr>
            <w:r/>
            <w:r>
              <w:rPr>
                <w:rFonts w:ascii="맑은 고딕" w:hAnsi="맑은 고딕" w:eastAsia="맑은 고딕" w:cs="맑은 고딕"/>
                <w:b w:val="0"/>
                <w:color w:val="000000"/>
                <w:sz w:val="19"/>
              </w:rPr>
              <w:t>①폐기물처리시설을 설치ㆍ운영하는 자는 기후에너지환경부령으로 정하는 관리기준에 따라 그 시설을 유지ㆍ관리하여야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제13호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제2항</w:t>
            </w:r>
          </w:p>
        </w:tc>
        <w:tc>
          <w:tcPr>
            <w:tcW w:type="pct" w:w="3500"/>
          </w:tcPr>
          <w:p>
            <w:pPr>
              <w:autoSpaceDE w:val="0"/>
              <w:autoSpaceDN w:val="0"/>
            </w:pPr>
            <w:r/>
            <w:r>
              <w:rPr>
                <w:rFonts w:ascii="맑은 고딕" w:hAnsi="맑은 고딕" w:eastAsia="맑은 고딕" w:cs="맑은 고딕"/>
                <w:b w:val="0"/>
                <w:color w:val="000000"/>
                <w:sz w:val="19"/>
              </w:rPr>
              <w:t>②제25조제3항에 따른 폐기물처리업의 허가를 받았거나 받으려는 자 외의 자가 폐기물처리시설을 설치하려면 기후에너지환경부장관의 승인을 받아야 한다. 다만, 제1호의 폐기물처리시설을 설치하는 경우는 제외하며, 제2호의 폐기물처리시설을 설치하려면 기후에너지환경부장관에게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