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유성이앤티 · 피고 부산광역시 기장군수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③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t>④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w:t>
      </w:r>
      <w:r>
        <w:rPr>
          <w:rFonts w:ascii="맑은 고딕" w:hAnsi="맑은 고딕" w:eastAsia="맑은 고딕" w:cs="맑은 고딕"/>
          <w:color w:val="000000"/>
        </w:rPr>
        <w:br/>
      </w:r>
      <w:r>
        <w:rPr>
          <w:rFonts w:ascii="맑은 고딕" w:hAnsi="맑은 고딕" w:eastAsia="맑은 고딕" w:cs="맑은 고딕"/>
          <w:color w:val="000000"/>
        </w:rPr>
        <w:t>⑤ 그러나 이러한 사후적 규제만으로는 충분하지 않다.</w:t>
      </w:r>
      <w:r>
        <w:rPr>
          <w:rFonts w:ascii="맑은 고딕" w:hAnsi="맑은 고딕" w:eastAsia="맑은 고딕" w:cs="맑은 고딕"/>
          <w:color w:val="000000"/>
        </w:rPr>
        <w:br/>
      </w:r>
      <w:r>
        <w:rPr>
          <w:rFonts w:ascii="맑은 고딕" w:hAnsi="맑은 고딕" w:eastAsia="맑은 고딕" w:cs="맑은 고딕"/>
          <w:color w:val="000000"/>
        </w:rPr>
        <w:t>⑥ 환경이 오염되면 원상회복이 거의 불가능한 경우가 많아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⑦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⑧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⑨ 그런데도 이 사건 처분이 위법하다는 원심의 판단에는 건설폐기물 처리 사업계획서 부적합통보 처분 관련 재량권 일탈·남용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⑩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t>⑪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color w:val="000000"/>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color w:val="000000"/>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제2항</w:t>
            </w:r>
          </w:p>
        </w:tc>
        <w:tc>
          <w:tcPr>
            <w:tcW w:type="pct" w:w="3500"/>
          </w:tcPr>
          <w:p>
            <w:pPr>
              <w:autoSpaceDE w:val="0"/>
              <w:autoSpaceDN w:val="0"/>
            </w:pPr>
            <w:r/>
            <w:r>
              <w:rPr>
                <w:rFonts w:ascii="맑은 고딕" w:hAnsi="맑은 고딕" w:eastAsia="맑은 고딕" w:cs="맑은 고딕"/>
                <w:b w:val="0"/>
                <w:color w:val="000000"/>
                <w:sz w:val="19"/>
              </w:rPr>
              <w:t>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제2항에 따라 사업계획이 적합하다는 통보를 받은 자는 기후에너지환경부령으로 정하는 바에 따라 다음 각 호의 기준을 갖추어 시ㆍ도지사의 허가를 받아야 한다. 이 경우 시ㆍ도지사는 제2항에 따라 사업계획의 적합 통보를 받은 자가 해당 사업계획에 따라 시설, 장비, 기술능력 등의 요건을 갖추어 허가신청을 한 경우에는 지체 없이 허가하여야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제2항</w:t>
            </w:r>
          </w:p>
        </w:tc>
        <w:tc>
          <w:tcPr>
            <w:tcW w:type="pct" w:w="3500"/>
          </w:tcPr>
          <w:p>
            <w:pPr>
              <w:autoSpaceDE w:val="0"/>
              <w:autoSpaceDN w:val="0"/>
            </w:pPr>
            <w:r/>
            <w:r>
              <w:rPr>
                <w:rFonts w:ascii="맑은 고딕" w:hAnsi="맑은 고딕" w:eastAsia="맑은 고딕" w:cs="맑은 고딕"/>
                <w:b w:val="0"/>
                <w:color w:val="000000"/>
                <w:sz w:val="19"/>
              </w:rPr>
              <w:t>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또한 같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환경보전에 관한 국민의 권리ㆍ의무와 국가의 책무를 명확히 하고 환경정책의 기본 사항을 정하여 환경오염과 환경훼손을 예방하고 환경을 적정하고 지속가능하게 관리ㆍ보전함으로써 모든 국민이 건강하고 쾌적한 삶을 누릴 수 있도록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①환경의 질적인 향상과 그 보전을 통한 쾌적한 환경의 조성 및 이를 통한 인간과 환경 간의 조화와 균형의 유지는 국민의 건강과 문화적인 생활의 향유 및 국토의 보전과 항구적인 국가발전에 반드시 필요한 요소임에 비추어 국가, 지방자치단체, 사업자 및 국민은 환경을 보다 양호한 상태로 유지ㆍ조성하도록 노력하고, 환경을 이용하는 모든 행위를 할 때에는 환경보전을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국가는 환경오염 및 환경훼손과 그 위해를 예방하고 환경을 적정하게 관리ㆍ보전하기 위하여 환경계획을 수립하여 시행할 책무를 진다. ② 지방자치단체는 관할 구역의 지역적 특성을 고려하여 국가의 환경계획에 따라 그 지방자치단체의 환경계획을 수립하여 이를 시행할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w:t>
            </w:r>
          </w:p>
        </w:tc>
        <w:tc>
          <w:tcPr>
            <w:tcW w:type="pct" w:w="3500"/>
          </w:tcPr>
          <w:p>
            <w:pPr>
              <w:autoSpaceDE w:val="0"/>
              <w:autoSpaceDN w:val="0"/>
            </w:pPr>
            <w:r/>
            <w:r>
              <w:rPr>
                <w:rFonts w:ascii="맑은 고딕" w:hAnsi="맑은 고딕" w:eastAsia="맑은 고딕" w:cs="맑은 고딕"/>
                <w:b w:val="0"/>
                <w:color w:val="000000"/>
                <w:sz w:val="19"/>
              </w:rPr>
              <w:t>사업자는 그 사업활동으로부터 발생하는 환경오염 및 환경훼손을 스스로 방지하기 위하여 필요한 조치를 하여야 하며, 국가 또는 지방자치단체의 환경보전시책에 참여하고 협력하여야 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모든 국민은 건강하고 쾌적한 환경에서 생활할 권리를 가진다. ② 모든 국민은 국가 및 지방자치단체의 환경보전시책에 협력하여야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제217조 제1항</w:t>
            </w:r>
          </w:p>
        </w:tc>
        <w:tc>
          <w:tcPr>
            <w:tcW w:type="pct" w:w="3500"/>
          </w:tcPr>
          <w:p>
            <w:pPr>
              <w:autoSpaceDE w:val="0"/>
              <w:autoSpaceDN w:val="0"/>
            </w:pPr>
            <w:r/>
            <w:r>
              <w:rPr>
                <w:rFonts w:ascii="맑은 고딕" w:hAnsi="맑은 고딕" w:eastAsia="맑은 고딕" w:cs="맑은 고딕"/>
                <w:b w:val="0"/>
                <w:color w:val="000000"/>
                <w:sz w:val="19"/>
              </w:rPr>
              <w:t>①토지소유자는 매연, 열기체, 액체, 음향, 진동 기타 이에 유사한 것으로 이웃 토지의 사용을 방해하거나 이웃 거주자의 생활에 고통을 주지 아니하도록 적당한 조처를 할 의무가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