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‘적정 보관장소’는 허가·승인받은 시설로 한정됩니다</w:t>
      </w:r>
    </w:p>
    <w:p>
      <w:pPr>
        <w:pStyle w:val="law1"/>
        <w:autoSpaceDE w:val="0"/>
        <w:autoSpaceDN w:val="0"/>
        <w:spacing w:after="160"/>
      </w:pPr>
      <w:r>
        <w:rPr>
          <w:rFonts w:ascii="맑은 고딕" w:hAnsi="맑은 고딕" w:eastAsia="맑은 고딕" w:cs="맑은 고딕"/>
          <w:color w:val="000000"/>
        </w:rPr>
        <w:t>대법원 2019도1118 (2020.05.14 선고)</w:t>
      </w:r>
    </w:p>
    <w:p>
      <w:pPr>
        <w:autoSpaceDE w:val="0"/>
        <w:autoSpaceDN w:val="0"/>
        <w:spacing w:after="120"/>
      </w:pPr>
      <w:r>
        <w:rPr>
          <w:rFonts w:ascii="맑은 고딕" w:hAnsi="맑은 고딕" w:eastAsia="맑은 고딕" w:cs="맑은 고딕"/>
          <w:color w:val="000000"/>
        </w:rPr>
        <w:t>○ 폐기물처리업자의 준수사항인 ‘적정한 보관장소’의 범위가 문제된 사건입니다. 대법원은 승인·변경승인받은 임시보관시설·장소와 허가·변경허가받은 보관시설로 한정된다고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폐기물처리업자가 폐기물을 보관할 수 있는 ‘적정한 보관장소’는 어디까지인가요?</w:t>
            </w:r>
          </w:p>
          <w:p>
            <w:pPr>
              <w:autoSpaceDE w:val="0"/>
              <w:autoSpaceDN w:val="0"/>
            </w:pPr>
            <w:r>
              <w:rPr>
                <w:rFonts w:ascii="맑은 고딕" w:hAnsi="맑은 고딕" w:eastAsia="맑은 고딕" w:cs="맑은 고딕"/>
                <w:b w:val="0"/>
                <w:color w:val="000000"/>
                <w:sz w:val="19"/>
              </w:rPr>
              <w:t>A. 승인·변경승인받은 임시보관장소·임시보관시설과, 처분·재활용시설이 있는 사업장 내에 허가·변경허가를 받은 보관시설로 한정됩니다.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2019도1118</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2020.05.14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공소사실을 무죄로 판단한 원심의 판단에는 폐기물관리법상 폐기물의 보관장소에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② 이 점을 지적하는 검사의 상고이유 주장은 이유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폐기물처리업자가 지켜야 할 준수사항으로 폐기물의 보관장소를 규정한 폐기물관리법 제25조 제9항 제1호의 ‘적정한 보관장소’는 같은 법 시행규칙의 규정에 의하여 승인이나 변경승인을 받은 임시보관시설과 임시보관장소, 그리고 보관 대상 폐기물을 처분 또는 재활용할 시설이 있는 사업장 내에 위치한 것으로서 폐기물처리업허가 또는 변경허가를 받은 보관시설에 한정되는지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판단은 아래와 같은 이유로 이를 그대로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② 폐기물관리법 제25조 제9항 제1호는 폐기물처리업자가 지켜야 할 준수사항으로 “환경부령으로 정하는 바에 따라 폐기물을 허가받은 사업장 내 보관시설이나 승인받은 임시보관시설 등 적정한 장소에 보관할 것”을 규정하고 있고, 이러한 위임에 따라 폐기물관리법 시행규칙 제30조의2는 시행규칙 제9조 제4항에 따라 승인을 받거나 같은 조 제5항에 따라 변경승인을 받은 임시보관장소, 시행규칙 제11조 제2항에 따라 승인을 받거나 같은 조 제3항에 따라 변경승인을 받은 임시보관시설 및 시행규칙 제28조 제4항에 따라 허가를 받거나 제29조 제1항에 따라 변경허가를 받은 폐기물 보관시설을 폐기물처리업자의 폐기물 보관장소로 한정적으로 열거하고 있으며, 그 밖에 폐기물을 보관할 ‘적정한 장소’에 관한 규정을 두고 있지 않다.</w:t>
      </w:r>
      <w:r>
        <w:rPr>
          <w:rFonts w:ascii="맑은 고딕" w:hAnsi="맑은 고딕" w:eastAsia="맑은 고딕" w:cs="맑은 고딕"/>
          <w:color w:val="000000"/>
        </w:rPr>
        <w:br/>
      </w:r>
      <w:r>
        <w:rPr>
          <w:rFonts w:ascii="맑은 고딕" w:hAnsi="맑은 고딕" w:eastAsia="맑은 고딕" w:cs="맑은 고딕"/>
          <w:color w:val="000000"/>
        </w:rPr>
        <w:t>③ 그리고 폐기물관리법 시행령 제7조 제1항 제6호는 “폐기물을 처분 또는 재활용하는 자가 폐기물을 보관하는 경우에는 그 폐기물 처분시설 또는 재활용시설과 같은 사업장에 있는 보관시설에 보관할 것”을 폐기물의 처리 기준 및 방법의 하나로 규정하고 있고, 폐기물관리법 시행규칙 제28조 제4항은 폐기물처리업허가를 받고자 하는 자는 폐기물처리업의 종류에 따라 시설 및 장비명세서와 보관시설의 용량 및 그 산출근거를 확인할 수 있는 서류 등을 관할 관청에 제출하도록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④ 위와 같은 법령의 문언, 폐기물 보관장소에 관한 법령의 체계 및 폐기물처리업허가 신청을 할 때 제출하여야 할 서류에 의하여 폐기물 보관시설의 위치 등이 특정될 수 있어 보이는 점, 폐기물처리업허가에 관한 법령은 폐기물처리업허가를 받기 위한 최소한도의 요건만을 규정하여 그 사업의 적정 여부에 대하여 재량의 여지를 남겨 두고 있고 폐기물의 보관시설이 적정한지 여부에 관하여도 마찬가지로 보아야 하는 점(대법원 2004. 5. 28. 선고 2004두961 판결 참조), 폐기물 관리에 관한 법령은 폐기물 관리의 효율을 위하여 폐기물처리업허가와 검사 등 폐기물처리업자에 대한 지도·감독 및 폐기물처리업자의 형사처벌이 유기적·체계적으로 통합되도록 규정하고 있는 점 등을 종합하여 보면, 폐기물관리법 제25조 제9항 제1호의 ‘적정한 보관장소’는 폐기물관리법 시행규칙의 규정에 의하여 승인이나 변경승인을 받은 임시보관시설과 임시보관장소, 그리고 보관 대상 폐기물을 처분 또는 재활용할 시설이 있는 사업장 내에 위치한 것으로서 폐기물처리업허가 또는 변경허가를 받은 보관시설에 한정된다고 보아야 한다.</w:t>
      </w:r>
      <w:r>
        <w:rPr>
          <w:rFonts w:ascii="맑은 고딕" w:hAnsi="맑은 고딕" w:eastAsia="맑은 고딕" w:cs="맑은 고딕"/>
          <w:color w:val="000000"/>
        </w:rPr>
        <w:br/>
      </w:r>
      <w:r>
        <w:rPr>
          <w:rFonts w:ascii="맑은 고딕" w:hAnsi="맑은 고딕" w:eastAsia="맑은 고딕" w:cs="맑은 고딕"/>
          <w:color w:val="000000"/>
        </w:rPr>
        <w:t>⑤ 그럼에도 위와 같이 폐기물관리법에서 정하고 있는 ‘허가받은 사업장 내 보관시설 등 적정한 장소’를 ‘허가받은 사업장 내의 적정한 보관시설’로 해석하여 이 사건 공소사실을 무죄로 판단한 원심의 판단에는 폐기물관리법상 폐기물의 보관장소에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⑥ 이 점을 지적하는 검사의 상고이유 주장은 이유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폐기물관리법 제25조 제9항 제1호는 폐기물처리업자가 지켜야 할 준수사항으로 “환경부령으로 정하는 바에 따라 폐기물을 허가받은 사업장 내 보관시설이나 승인받은 임시보관시설 등 적정한 장소에 보관할 것”을 규정하고 있고, 이러한 위임에 따라 폐기물관리법 시행규칙(이하 ‘시행규칙’이라 한다) 제30조의2는 시행규칙 제9조 제4항에 따라 승인을 받거나 같은 조 제5항에 따라 변경승인을 받은 임시보관장소, 시행규칙 제11조 제2항에 따라 승인을 받거나 같은 조 제3항에 따라 변경승인을 받은 임시보관시설 및 시행규칙 제28조 제4항에 따라 허가를 받거나 제29조 제1항에 따라 변경허가를 받은 폐기물 보관시설을 폐기물처리업자의 폐기물 보관장소로 한정적으로 열거하고 있으며, 그 밖에 폐기물을 보관할 ‘적정한 장소’에 관한 규정을 두고 있지 않다. 그리고 폐기물관리법 시행령 제7조 제1항 제6호는 “폐기물을 처분 또는 재활용하는 자가 폐기물을 보관하는 경우에는 그 폐기물 처분시설 또는 재활용시설과 같은 사업장에 있는 보관시설에 보관할 것”을 폐기물의 처리 기준 및 방법의 하나로 규정하고 있고, 시행규칙 제28조 제4항은 폐기물처리업허가를 받고자 하는 자는 폐기물처리업의 종류에 따라 시설 및 장비명세서와 보관시설의 용량 및 그 산출근거를 확인할 수 있는 서류 등을 관할 관청에 제출하도록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 xml:space="preserve">  위와 같은 법령의 문언, 폐기물 보관장소에 관한 법령의 체계 및 폐기물처리업허가 신청을 할 때 제출하여야 할 서류에 의하여 폐기물 보관시설의 위치 등이 특정될 수 있어 보이는 점, 폐기물처리업허가에 관한 법령은 폐기물처리업허가를 받기 위한 최소한도의 요건만을 규정하여 그 사업의 적정 여부에 대하여 재량의 여지를 남겨 두고 있고 폐기물의 보관시설이 적정한지 여부에 관하여도 마찬가지로 보아야 하는 점, 폐기물 관리에 관한 법령은 폐기물 관리의 효율을 위하여 폐기물처리업허가와 검사 등 폐기물처리업자에 대한 지도·감독 및 폐기물처리업자의 형사처벌이 유기적·체계적으로 통합되도록 규정하고 있는 점 등을 종합하여 보면, 폐기물관리법 제25조 제9항 제1호의 ‘적정한 보관장소’는 시행규칙의 규정에 의하여 승인이나 변경승인을 받은 임시보관시설과 임시보관장소, 그리고 보관 대상 폐기물을 처분 또는 재활용할 시설이 있는 사업장 내에 위치한 것으로서 폐기물처리업허가 또는 변경허가를 받은 보관시설에 한정된다고 보아야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제9항 제1호</w:t>
            </w:r>
          </w:p>
        </w:tc>
        <w:tc>
          <w:tcPr>
            <w:tcW w:type="pct" w:w="3500"/>
          </w:tcPr>
          <w:p>
            <w:pPr>
              <w:autoSpaceDE w:val="0"/>
              <w:autoSpaceDN w:val="0"/>
            </w:pPr>
            <w:r/>
            <w:r>
              <w:rPr>
                <w:rFonts w:ascii="맑은 고딕" w:hAnsi="맑은 고딕" w:eastAsia="맑은 고딕" w:cs="맑은 고딕"/>
                <w:b w:val="0"/>
                <w:color w:val="000000"/>
                <w:sz w:val="19"/>
              </w:rPr>
              <w:t>⑨ 폐기물처리업자는 다음 각 호의 준수사항을 지켜야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제66조 제9호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2년 이하의 징역이나 2천만원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제7조 제1항 제6호</w:t>
            </w:r>
          </w:p>
        </w:tc>
        <w:tc>
          <w:tcPr>
            <w:tcW w:type="pct" w:w="3500"/>
          </w:tcPr>
          <w:p>
            <w:pPr>
              <w:autoSpaceDE w:val="0"/>
              <w:autoSpaceDN w:val="0"/>
            </w:pPr>
            <w:r/>
            <w:r>
              <w:rPr>
                <w:rFonts w:ascii="맑은 고딕" w:hAnsi="맑은 고딕" w:eastAsia="맑은 고딕" w:cs="맑은 고딕"/>
                <w:b w:val="0"/>
                <w:color w:val="000000"/>
                <w:sz w:val="19"/>
              </w:rPr>
              <w:t>①법 제13조제1항 본문에 따른 폐기물의 처리 기준 및 방법은 다음 각 호와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제4항</w:t>
            </w:r>
          </w:p>
        </w:tc>
        <w:tc>
          <w:tcPr>
            <w:tcW w:type="pct" w:w="3500"/>
          </w:tcPr>
          <w:p>
            <w:pPr>
              <w:autoSpaceDE w:val="0"/>
              <w:autoSpaceDN w:val="0"/>
            </w:pPr>
            <w:r/>
            <w:r>
              <w:rPr>
                <w:rFonts w:ascii="맑은 고딕" w:hAnsi="맑은 고딕" w:eastAsia="맑은 고딕" w:cs="맑은 고딕"/>
                <w:b w:val="0"/>
                <w:color w:val="000000"/>
                <w:sz w:val="19"/>
              </w:rPr>
              <w:t>④ 법 제25조제3항에 따라 허가를 받고자 하는 자는 별지 제18호서식의 허가신청서에 다음 각 호의 구분에 따른 서류를 첨부하여 시ㆍ도지사나 지방환경관서의 장에게 제출하여야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제30조의2</w:t>
            </w:r>
          </w:p>
        </w:tc>
        <w:tc>
          <w:tcPr>
            <w:tcW w:type="pct" w:w="3500"/>
          </w:tcPr>
          <w:p>
            <w:pPr>
              <w:autoSpaceDE w:val="0"/>
              <w:autoSpaceDN w:val="0"/>
            </w:pPr>
            <w:r/>
            <w:r>
              <w:rPr>
                <w:rFonts w:ascii="맑은 고딕" w:hAnsi="맑은 고딕" w:eastAsia="맑은 고딕" w:cs="맑은 고딕"/>
                <w:b w:val="0"/>
                <w:color w:val="000000"/>
                <w:sz w:val="19"/>
              </w:rPr>
              <w:t>폐기물처리업자는 법 제25조제9항제1호에 따라 다음 각 호의 장소에 폐기물을 보관하여야 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https://www.law.go.kr/판례/(2019도1118)</w:t>
      </w:r>
    </w:p>
    <w:p>
      <w:pPr>
        <w:autoSpaceDE w:val="0"/>
        <w:autoSpaceDN w:val="0"/>
        <w:spacing w:before="80"/>
      </w:pPr>
      <w:r>
        <w:rPr>
          <w:rFonts w:ascii="맑은 고딕" w:hAnsi="맑은 고딕" w:eastAsia="맑은 고딕" w:cs="맑은 고딕"/>
          <w:color w:val="000000"/>
          <w:sz w:val="18"/>
        </w:rPr>
        <w:t>태그  #폐기물관리법판례 #형사판례 #대법원판례 #2020년판례 #2019도1118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