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반려, 행정청 재량은 어디까지일까요?</w:t>
      </w:r>
    </w:p>
    <w:p>
      <w:pPr>
        <w:pStyle w:val="law1"/>
        <w:autoSpaceDE w:val="0"/>
        <w:autoSpaceDN w:val="0"/>
        <w:spacing w:after="160"/>
      </w:pPr>
      <w:r>
        <w:rPr>
          <w:rFonts w:ascii="맑은 고딕" w:hAnsi="맑은 고딕" w:eastAsia="맑은 고딕" w:cs="맑은 고딕"/>
          <w:color w:val="000000"/>
        </w:rPr>
        <w:t>대법원 2023두35661 (2023.07.27 선고)</w:t>
      </w:r>
    </w:p>
    <w:p>
      <w:pPr>
        <w:autoSpaceDE w:val="0"/>
        <w:autoSpaceDN w:val="0"/>
        <w:spacing w:after="120"/>
      </w:pPr>
      <w:r>
        <w:rPr>
          <w:rFonts w:ascii="맑은 고딕" w:hAnsi="맑은 고딕" w:eastAsia="맑은 고딕" w:cs="맑은 고딕"/>
          <w:color w:val="000000"/>
        </w:rPr>
        <w:t>○ 폐기물처리사업계획서를 반려·부적합 통보할 때의 재량 범위와 취소소송에서의 증명책임이 문제된 사건입니다. 대법원은 적합 여부 판단에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여부는 행정청이 자유롭게 판단할 수 있나요?</w:t>
            </w:r>
          </w:p>
          <w:p>
            <w:pPr>
              <w:autoSpaceDE w:val="0"/>
              <w:autoSpaceDN w:val="0"/>
            </w:pPr>
            <w:r>
              <w:rPr>
                <w:rFonts w:ascii="맑은 고딕" w:hAnsi="맑은 고딕" w:eastAsia="맑은 고딕" w:cs="맑은 고딕"/>
                <w:b w:val="0"/>
                <w:color w:val="000000"/>
                <w:sz w:val="19"/>
              </w:rPr>
              <w:t>A. 생활환경·자연환경 영향을 두루 검토하는 것으로 행정청에 광범위한 재량이 인정되며, 장래의 불확실한 상황 예측은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반려처분이 위법하다는 점은 누가 증명해야 하나요?</w:t>
            </w:r>
          </w:p>
          <w:p>
            <w:pPr>
              <w:autoSpaceDE w:val="0"/>
              <w:autoSpaceDN w:val="0"/>
            </w:pPr>
            <w:r>
              <w:rPr>
                <w:rFonts w:ascii="맑은 고딕" w:hAnsi="맑은 고딕" w:eastAsia="맑은 고딕" w:cs="맑은 고딕"/>
                <w:b w:val="0"/>
                <w:color w:val="000000"/>
                <w:sz w:val="19"/>
              </w:rPr>
              <w:t>A. 처분을 다투는 원고가 재량 일탈·남용을 증명해야 하며, 처분서가 간략하면 행정청이 소송에서 구체적 사유를 밝히고 원고가 이를 반박해야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2023두35661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2023.07.27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영천시장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폐기물처리사업계획서의 적합 여부를 판단하는 방법 및 폐기물처리사업계획서의 적합 여부 결정에 관하여 행정청에 광범위한 재량권이 인정되는지 여부(적극) / 법원이 적합 여부 결정과 관련한 행정청의 재량권 일탈·남용 여부를 심사하는 방법 / 장래에 발생할 불확실한 상황과 파급효과에 대한 예측이 필요한 요건에 관한 행정청의 재량적 판단은 폭넓게 존중되어야 하는지 여부(원칙적 적극)</w:t>
      </w:r>
      <w:r>
        <w:rPr>
          <w:rFonts w:ascii="맑은 고딕" w:hAnsi="맑은 고딕" w:eastAsia="맑은 고딕" w:cs="맑은 고딕"/>
          <w:color w:val="000000"/>
        </w:rPr>
        <w:br/>
      </w:r>
      <w:r>
        <w:rPr>
          <w:rFonts w:ascii="맑은 고딕" w:hAnsi="맑은 고딕" w:eastAsia="맑은 고딕" w:cs="맑은 고딕"/>
          <w:color w:val="000000"/>
        </w:rPr>
        <w:t>[2] 처분이 재량권을 일탈·남용했다는 사정에 관한 증명책임의 소재(=처분의 효력을 다투는 자) / 행정청이 처분서에 불확정개념으로 규정된 법령상 허가기준 등을 충족하지 못했다는 취지만 간략히 기재하여 폐기물처리사업계획서 반려 내지 부적합 통보를 한 경우, 이에 대한 취소소송절차에서 행정청이 구체적 불허가사유를 분명히 해야 하는지 여부(적극) 및 이 경우 원고는 구체적 불허가사유에 관한 판단과 근거에 재량권 일탈·남용의 위법을 밝히기 위해 소송절차에서 추가적인 주장과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피고가 반려처분서에 처분사유를 ‘폐기물관리법 제25조 제7항 및 이 사건 지침 제3조에 따른 주민 건강 및 주변 환경 영향 여부를 확인하기 위한 주민동의서 미제출’이라고만 기재하였으나, 이 사건 소송과정에서 ① 비산먼지나 그 밖의 오염물질이 가까운 거리에 있는 주민생활에 영향을 줄 우려가 있고, ② 「소음·진동관리법 시행규칙」 제2조의2 [별표 1]에 의해 소음·진동배출시설로 규정된 분쇄시설을 운영할 때 소음·진동 발생이 우려되며, ③ 화재 사례가 빈번한 폐합성수지류 보관 및 처리 중 화재 발생 시 산불로의 확산이 우려되고, ④ 연간 14,400t의 폐기물 반입과 9,000t의 제품 출하를 위해 대형트럭이 빈번하게 출입하여 인근 지역의 교통 위험을 증가시키며, ⑤ 기존 축사가 입지하고 있는 곳에 추가적인 환경오염 유발시설이 입지할 경우 주변 환경오염이 가중된다는 등으로 처분사유로 기재되어 있던 주민의 건강과 주변 환경에의 영향이라는 불확정개념을 구체화하였다.</w:t>
      </w:r>
      <w:r>
        <w:rPr>
          <w:rFonts w:ascii="맑은 고딕" w:hAnsi="맑은 고딕" w:eastAsia="맑은 고딕" w:cs="맑은 고딕"/>
          <w:color w:val="000000"/>
        </w:rPr>
        <w:br/>
      </w:r>
      <w:r>
        <w:rPr>
          <w:rFonts w:ascii="맑은 고딕" w:hAnsi="맑은 고딕" w:eastAsia="맑은 고딕" w:cs="맑은 고딕"/>
          <w:color w:val="000000"/>
        </w:rPr>
        <w:t>③ 이 사건 폐기물처리사업계획서에 의하면, 원고가 운영하려는 폐기물처리시설에는 1일 약 48t의 폐합성수지류 폐기물이 운반되는데, 그 폐기물처리시설에서는 이를 선별하고 분쇄하여 고형연료제품(비성형)을 1일 약 12t, 중간가공 폐기물을 1일 약 18t씩 생산하겠다는 것인바, 이와 같은 폐기물 처리과정에서는 소음, 분진, 진동이 발생하고, 폐기물과 제품 운반과정에서도 비산먼지 및 매연으로 인한 대기오염이 발생할 수 있을 것으로 보인다.</w:t>
      </w:r>
      <w:r>
        <w:rPr>
          <w:rFonts w:ascii="맑은 고딕" w:hAnsi="맑은 고딕" w:eastAsia="맑은 고딕" w:cs="맑은 고딕"/>
          <w:color w:val="000000"/>
        </w:rPr>
        <w:br/>
      </w:r>
      <w:r>
        <w:rPr>
          <w:rFonts w:ascii="맑은 고딕" w:hAnsi="맑은 고딕" w:eastAsia="맑은 고딕" w:cs="맑은 고딕"/>
          <w:color w:val="000000"/>
        </w:rPr>
        <w:t>④ 그런데 이 사건 폐기물처리사업계획서에 주변 환경에 대한 영향을 방지하기 위한 시설로서 구체적으로 기재되어 있는 것은 선별·분쇄과정에서 발생하는 비산먼지를 방지하기 위한 여과집진시설 1대뿐이다.</w:t>
      </w:r>
      <w:r>
        <w:rPr>
          <w:rFonts w:ascii="맑은 고딕" w:hAnsi="맑은 고딕" w:eastAsia="맑은 고딕" w:cs="맑은 고딕"/>
          <w:color w:val="000000"/>
        </w:rPr>
        <w:br/>
      </w:r>
      <w:r>
        <w:rPr>
          <w:rFonts w:ascii="맑은 고딕" w:hAnsi="맑은 고딕" w:eastAsia="맑은 고딕" w:cs="맑은 고딕"/>
          <w:color w:val="000000"/>
        </w:rPr>
        <w:t>⑤ 따라서 그것만으로는 폐기물처리시설로 인하여 발생할 수 있는 환경상의 악영향을 방지하는 것이 불가능하다고 본 피고의 판단이 불합리하다고 할 수 없다.</w:t>
      </w:r>
      <w:r>
        <w:rPr>
          <w:rFonts w:ascii="맑은 고딕" w:hAnsi="맑은 고딕" w:eastAsia="맑은 고딕" w:cs="맑은 고딕"/>
          <w:color w:val="000000"/>
        </w:rPr>
        <w:br/>
      </w:r>
      <w:r>
        <w:rPr>
          <w:rFonts w:ascii="맑은 고딕" w:hAnsi="맑은 고딕" w:eastAsia="맑은 고딕" w:cs="맑은 고딕"/>
          <w:color w:val="000000"/>
        </w:rPr>
        <w:t>⑥ 원고는 위 폐기물처리시설로 매일 약 48t의 폐기물을 운반하고, 폐기물처리시설에서 약 30t의 가공된 제품을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t>⑦ 폐기물 운반 및 제품 출하를 위하여 대형트럭이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t>⑧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⑨ 환경이 심각하게 오염될 우려가 있는 경우에는 이를 미리 방지하는 것이 중요한데, 현재 원고가 제출한 증거만으로는 ‘주민들의 건강이나 주변 환경에 영향을 미칠 우려’를 처분사유로 하는 반려처분에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⑩ 따라서 원심으로서는 단순히 피고가 보완서류 미이행(주민동의서 미제출)을 이유로 반려처분을 하였다는 전제에서 그 반려처분에 재량권 일탈·남용의 위법이 있다고 단정할 것이 아니라, 원고로 하여금 폐기물처리시설 예정지의 자연환경, 기반시설과 인근의 주거시설, 상업시설, 산업시설, 근린생활시설 등의 위치, 규모 및 현황을 확인할 수 있는 자료 및 원고가 운영할 폐기물처리시설이 주민들의 건강과 주변 환경에 어떠한 영향을 주는지에 관한 주장 및 자료를 제출하게 하여 그 폐기물처리시설로 인한 ‘주민들의 건강이나 주변 환경에의 영향’의 유무 및 그 정도를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t>⑪ 그럼에도 원심은 그에 관한 조치를 취하거나 심리를 하지 않고, 곧바로 피고의 반려처분에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⑫ 이러한 원심판단에는 폐기물관리법상 폐기물처리사업계획서 적합 통보 여부에 관한 심사기준과 그 범위, 불확정개념을 처분사유로 한 경우의 그 해석과 심리방법, 재량권 일탈·남용에 대한 주장·증명책임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https://www.law.go.kr/판례/(2023두35661)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#2023년판례 #2023두35661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